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ATAS/967/2017 vom 30. Oktober 2017</w:t>
      </w:r>
    </w:p>
    <w:p>
      <w:r>
        <w:t>GE Cour de justice, 2017-10-30, FR</w:t>
      </w:r>
    </w:p>
    <w:p>
      <w:r>
        <w:rPr>
          <w:b/>
        </w:rPr>
        <w:t xml:space="preserve">Quelle: </w:t>
      </w:r>
      <w:r>
        <w:t>https://mcp.opencaselaw.ch/entscheid/ge_gerichte_ATAS_967_2017</w:t>
      </w:r>
    </w:p>
    <w:p>
      <w:r>
        <w:t>FR: GE_GERICHTE ATAS/967/2017 du 30 octobre 2017</w:t>
      </w:r>
    </w:p>
    <w:p>
      <w:r>
        <w:t>IT: GE_GERICHTE ATAS/967/2017 del 30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w:t>
      </w:r>
    </w:p>
    <w:p>
      <w:r>
        <w:rPr>
          <w:b/>
        </w:rPr>
        <w:t>E. 3</w:t>
      </w:r>
    </w:p>
    <w:p>
      <w:r>
        <w:t>Interjeté dans les délais et formes prévus par la loi, le recours est recevable (art. 43 LPCC; art. 89B et 89C let. b de la loi sur la procédure administrative du 12 septembre 1985 – LPA/GE - E 5 10).</w:t>
      </w:r>
    </w:p>
    <w:p>
      <w:r>
        <w:rPr>
          <w:b/>
        </w:rPr>
        <w:t>E. 4</w:t>
      </w:r>
    </w:p>
    <w:p>
      <w:r>
        <w:t>L’objet du litige porte sur le calcul des prestations complémentaires familiales dues au recourant, singulièrement sur la question de la prise en compte d’un gain hypothétique pour l’épouse du recourant.</w:t>
      </w:r>
    </w:p>
    <w:p>
      <w:r>
        <w:rPr>
          <w:b/>
        </w:rPr>
        <w:t>E. 5</w:t>
      </w:r>
    </w:p>
    <w:p>
      <w:r>
        <w:t>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 Selon l’art. 36A al. 4 et 5 LPCC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w:t>
      </w:r>
    </w:p>
    <w:p>
      <w:r>
        <w:t>A/2302/2017 - 5/11 -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5 LPCC prescrit que le revenu déterminant est calculé conformément à l'art. 11 LPC, moyennant les adaptations suivantes : les ressources en espèces ou en nature provenant de l'exercice d'une activité lucrative sont intégralement prises en compte (al. 1 let. a); le revenu déterminant est augmenté d'un cinquième de la fortune calculée en application de l'art.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Selon l’art. 16 al. 1 du règlement relatif aux prestations complémentaires familiales du 27 juin 2012 (RPCFam - J 4 25.04), il n'est pas tenu compte du gain hypothétique au sens de l'article 36E, alinéa 5, de la loi lorsque l'adulte seul qui fait ménage commun avec un enfant de moins d'un an exerce une activité lucrative salariée au sens de l'article 36A, alinéa 4, lettre a, de la loi, ou touche des indemnités mentionnées par l'article 36A, alinéa 5, de la loi, ou par l'article 10, alinéa 1, du présent règlement.</w:t>
      </w:r>
    </w:p>
    <w:p>
      <w:r>
        <w:t>A/2302/2017 - 6/11 -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 L'art. 19 RPCFam précise que lorsqu'un ayant droit ou un membre du groupe familial renonce à des éléments de revenus ou renonce à faire valoir un droit à un revenu, il est tenu compte d'un revenu hypothétique, conformément à l’art. 11 al. 1 let. g LPC.</w:t>
      </w:r>
    </w:p>
    <w:p>
      <w:r>
        <w:rPr>
          <w:b/>
        </w:rPr>
        <w:t>E. 6</w:t>
      </w:r>
    </w:p>
    <w:p>
      <w:r>
        <w:t>Dans un arrêt de principe du 29 octobre 2015, la chambre de céans a considéré que la jurisprudence rendue à propos l’art. 11 al. 1 let. g LPC s’applique également, et par analogie, à la prise en compte d’un gain hypothétique en matière de prestations complémentaires familiales. Il n’y avait pas de motif pour une interprétation plus restrictive de la notion d’effort de travail raisonnablement exigible (ATAS/817/2015 consid. 9). Dans un arrêt du 10 mai 2017 (ATAS/366/2017), la chambre de céans a précisé que l’arrêt du 12 janvier 2016 (ATAS/13/2016), dont se prévaut en l’espèce l’intimé, était un arrêt isolé et contraire à l’arrêt de principe du 29 octobre 2015 (ATAS/817/2015), lequel n’avait pas été remis en cause par un autre arrêt de principe et, de surcroit, avait été confirmé par un arrêt rendu le 10 février 2016 (ATAS/111/2016). C’est donc en vain que l’intimé invoque en l’espèce cette jurisprudence.</w:t>
      </w:r>
    </w:p>
    <w:p>
      <w:r>
        <w:rPr>
          <w:b/>
        </w:rPr>
        <w:t>E. 7</w:t>
      </w:r>
    </w:p>
    <w:p>
      <w:r>
        <w:t>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w:t>
      </w:r>
    </w:p>
    <w:p>
      <w:r>
        <w:t>A/2302/2017 - 7/11 -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w:t>
      </w:r>
    </w:p>
    <w:p>
      <w:r>
        <w:t>A/2302/2017 - 8/11 -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w:t>
      </w:r>
    </w:p>
    <w:p>
      <w:r>
        <w:rPr>
          <w:b/>
        </w:rPr>
        <w:t>E. 10</w:t>
      </w:r>
    </w:p>
    <w:p>
      <w:r>
        <w:t>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 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______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w:t>
      </w:r>
    </w:p>
    <w:p>
      <w:r>
        <w:rPr>
          <w:b/>
        </w:rPr>
        <w:t>E. 12</w:t>
      </w:r>
    </w:p>
    <w:p>
      <w:r>
        <w:t>à 14 ans) étaient scolarisés tant que le quatrième enfant, alors âgé de un et demi, ne le serait pas.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(ATAS/246/2006 ; cf. également ATAS/1445/2007).</w:t>
      </w:r>
    </w:p>
    <w:p>
      <w:r>
        <w:t>A/2302/2017 - 9/11 -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(ATAS/1100/2014 du 21 octobre 2014). Tout gain potentiel a encore été exclu pour une épouse n'ayant aucune formation, ne parlant pratiquement pas le français et ayant plusieurs enfants en bas âge (ATAS/750/2004).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(ATAS/553/2014). Enfin, un gain hypothétique a été exclu durant le dernier mois de grossesse de l’épouse du bénéficiaire ainsi que durant le congé maternité ; il pouvait cependant être attendu de cette deuxième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l’occurrence, l’intimé a pris en compte un gain hypothétique de CHF 19'630.50 pour l’épouse du recourant, depuis le 1er octobre 2016. Or, celle-ci a accouché le ______ 2016, de sorte qu’un tel gain hypothétique ne saurait être comptabilisé depuis octobre 2016 (ATAS/111/2016 précité).</w:t>
      </w:r>
    </w:p>
    <w:p>
      <w:r>
        <w:t>A/2302/2017 - 10/11 - Par ailleurs, il convient de constater que les deux enfants du couple sont atteints de maladies nécessitant, selon la Dresse E______, la présence de leur mère à plein temps, étant relevé que l’enfant D______ présente une cardiopathie congénitale complexe. L’intimé ne conteste pas ces faits, en particulier la nécessité pour l’épouse du recourant de s’occuper de ses enfants à plein temps mais estime que l’inactivité due à l’état de santé des enfants ne peut, par principe, pas être prise en compte, en se référant à l’ATAS/13/2016. Cet avis, au vu de l’arrêt de principe de la chambre de céans (ATAS/817/2015 du 29 octobre 2015) et de l’argumentation exposée ci- avant, ne peut être retenu. Compte tenu de l’âge et de l’état de santé des enfants du recourant ainsi que de la jurisprudence précitée, il convient d’admettre qu’une activité lucrative n’est, pour l’instant, pas exigible de la part de l’épouse du recourant. Partant, la question de savoir si le soin apporté aux enfants par cette dernière équivaudrait à une activité lucrative n’a pas besoin d’être examinée, étant cependant relevé que l’arrêt cité par le recourant a été cassé par le Tribunal fédéral (arrêt du 31 juillet 2017, 9C 827/2016). 10. Partant, le recours sera admis et la décision litigieuse annulée, la cause étant renvoyée à l’intimé pour nouveau calcul, sans prise en compte d’un gain hypothétique pour l’épouse du recourant, et nouvelle décision. Au vu de l’issue du recours, une indemnité de CHF 2'000.- sera allouée au recourant, à charge de l’intimé.</w:t>
      </w:r>
    </w:p>
    <w:p>
      <w:r>
        <w:t>A/2302/2017 - 11/11 -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