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ATAS/966/2021 vom 22. September 2021</w:t>
      </w:r>
    </w:p>
    <w:p>
      <w:r>
        <w:t>GE Cour de justice, 2021-09-22, FR</w:t>
      </w:r>
    </w:p>
    <w:p>
      <w:r>
        <w:rPr>
          <w:b/>
        </w:rPr>
        <w:t xml:space="preserve">Quelle: </w:t>
      </w:r>
      <w:r>
        <w:t>https://mcp.opencaselaw.ch/entscheid/ge_gerichte_ATAS_966_2021</w:t>
      </w:r>
    </w:p>
    <w:p>
      <w:r>
        <w:t>FR: GE_GERICHTE ATAS/966/2021 du 22 septembre 2021</w:t>
      </w:r>
    </w:p>
    <w:p>
      <w:r>
        <w:t>IT: GE_GERICHTE ATAS/966/2021 del 22 settembre 2021</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w:t>
      </w:r>
    </w:p>
    <w:p>
      <w:r>
        <w:t>- 12/17-</w:t>
      </w:r>
    </w:p>
    <w:p>
      <w:r>
        <w:t>A/839/2020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3</w:t>
      </w:r>
    </w:p>
    <w:p>
      <w:r>
        <w:t>En l'occurrence, le recourant reproche en premier lieu à l'intimée que l'expert J______ n'a pas été choisi d'un commun accord entre les parties, voire qu'il a été désigné malgré son opposition. a.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Le Tribunal fédéral a par ailleurs précisé que l’assuré pouvait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convenait d’accorder une importance plus grande que cela avait été le cas jusqu’ici, à la mise en œuvre consensuelle d’une expertise, en s'inspirant notamment de l’art. 93 de la loi fédérale</w:t>
      </w:r>
    </w:p>
    <w:p>
      <w:r>
        <w:t>- 13/17-</w:t>
      </w:r>
    </w:p>
    <w:p>
      <w:r>
        <w:t>A/839/2020 sur l’assurance militaire du 19 juin 1992 (LAM;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b. Le recourant s'est certes opposé à la désignation du Dr J______ en tant qu'expert. Toutefois, suite à la réponse du 24 septembre 2019 de l'intimée, il n'a pas sollicité une décision d'ordonnancement formelle, afin de la contester. Par ailleurs, le recourant s'est présenté à l'expertise. L'intimée pouvait en conclure que le recourant acceptait finalement la désignation du Dr J______ en tant qu'expert. Par conséquent, il ne peut être considéré que les droits de participation à la mise en œuvre de l'expertise ont été violés, d'autant moins que le recourant est assisté par un conseil. Il n'y a ainsi pas lieu d'invalider l'expertise pour ce motif.</w:t>
      </w:r>
    </w:p>
    <w:p>
      <w:r>
        <w:rPr>
          <w:b/>
        </w:rPr>
        <w:t>E. 4</w:t>
      </w:r>
    </w:p>
    <w:p>
      <w:r>
        <w:t>Le recourant sollicite également une expertise de la hanche. Cependant, le Dr L______ est un spécialiste de la main et ne possède vraisemblablement pas les compétences pointues pour apprécier les affections de la hanche. À cela s'ajoute que la chambre de céans n'a pas réussi à trouver un expert de la hanche, tous les spécialistes contactés ayant refusé le mandat d'expertise, dont notamment les Drs K______ et M______. Cela étant, il est loisible au recourant de prendre rendez-vous avec un spécialiste de la hanche pour avoir un deuxième avis, tout en lui soumettant l'intégralité du dossier, notamment la bilan anatomo-métabolique avec scinti-SPECT-CT. Il conviendrait alors d'informer la chambre de céans de ce rendez-vous, afin qu'elle puisse adresser ses questions au médecin auparavant. Il sied toutefois de constater que le recourant n'a pas montré des signes d'inconfort importants et ne s'était pas levé durant l'entretien de trois heures avec le Dr J______. Par ailleurs, le recourant lui-même a déclaré qu'il pouvait tenir la position debout et assise durant 30-40 minutes, si bien qu'on peut en conclure qu'un travail permettant l'alternance des positions doit être possible. Les atteintes à la hanche semblent également s'être améliorées, dès lors que le recourant a aussi indiqué qu'il pouvait marcher sur plusieurs kilomètres, en ménageant des pauses. Cependant, la chambre de céans n'exclut pas définitivement la question de la nécessité d'une seconde expertise pour examiner les atteintes du recourant à la hanche, et laissera pour l'instant la question ouverte.</w:t>
      </w:r>
    </w:p>
    <w:p>
      <w:r>
        <w:t>- 14/17-</w:t>
      </w:r>
    </w:p>
    <w:p>
      <w:r>
        <w:t>A/839/2020</w:t>
      </w:r>
    </w:p>
    <w:p>
      <w:r>
        <w:rPr>
          <w:b/>
        </w:rPr>
        <w:t>E. 5</w:t>
      </w:r>
    </w:p>
    <w:p>
      <w:r>
        <w:t>Quant aux atteintes du poignet droit, il n'y a aucun substrat organique objectivable susceptible d'expliquer les plaintes du recourant, selon le Dr J______, de sorte qu'il n'y a pas lieu de retenir une diminution des fonctions et que le métier de menuisier est exigible. Cette conclusion ne paraît cependant pas cohérente au vu des constatations à l'examen clinique, ainsi que de celles des autres médecins. En effet, le Dr J______ mentionne une nette diminution de la force du poignet droit, ce qui constitue assurément une contrindication pour le métier de menuisier. Au demeurant, le Dr F______ de la SUVA constate également lors de l'examen final en date du 7 novembre 2018 une diminution de la force de la main droite de moitié. Quant à l'absence d'amyotrophie du bras droit par rapport au gauche, elle peut s'expliquer par le fait que le recourant n'effectue plus de travaux de force, ni avec le bras droit ni avec le gauche. Il est à cet égard utile de relever que le périmètre du bras gauche a également diminué depuis l'accident, comme cela ressort des rapports médicaux. Par ailleurs, il a été constaté après le stage du recourant aux EPI que l'état de sa main s'était péjorée. Elle montrait une tuméfaction avec une hypersudation et une augmentation de la coloration, selon le rapport du 8 février 2018 du Dr D______. Lors de l'expertise du Dr J______, le recourant déclare que la main droite a tendance à enfler lors de mouvements répétitifs. Compte tenu des constatations après le stage aux EPI, cette déclaration paraît tout à fait plausible et n'a au demeurant pas été discutée par le Dr J______. Partant, l'expertise du Dr J______ n'est pas convaincante, du moins en ce qui concerne les atteintes de la main droite, si bien qu'il s'avère nécessaire de mettre en œuvre une expertise judiciaire.</w:t>
      </w:r>
    </w:p>
    <w:p>
      <w:r>
        <w:rPr>
          <w:b/>
        </w:rPr>
        <w:t>E. 6</w:t>
      </w:r>
    </w:p>
    <w:p>
      <w:r>
        <w:t>Cette expertise sera confiée au Dr L______.</w:t>
      </w:r>
    </w:p>
    <w:p>
      <w:r>
        <w:rPr>
          <w:b/>
        </w:rPr>
        <w:t>E. 7</w:t>
      </w:r>
    </w:p>
    <w:p>
      <w:r>
        <w:t>Quelles sont les limitations fonctionnelles liées aux atteintes à la main et au poignet droits ?</w:t>
      </w:r>
    </w:p>
    <w:p>
      <w:r>
        <w:rPr>
          <w:b/>
        </w:rPr>
        <w:t>E. 8</w:t>
      </w:r>
    </w:p>
    <w:p>
      <w:r>
        <w:t>Les limitations fonctionnelles constatées à la main et au poignet droits reposent-elles sur un substrat médical objectivable ?</w:t>
      </w:r>
    </w:p>
    <w:p>
      <w:r>
        <w:t>- 17/17-</w:t>
      </w:r>
    </w:p>
    <w:p>
      <w:r>
        <w:t>A/839/2020</w:t>
      </w:r>
    </w:p>
    <w:p>
      <w:r>
        <w:rPr>
          <w:b/>
        </w:rPr>
        <w:t>E. 9</w:t>
      </w:r>
    </w:p>
    <w:p>
      <w:r>
        <w:t>Les limitations fonctionnelles observées lors du stage d'orientation professionnelle d'octobre à décembre 2017 sont-elles toujours valables ? Dans la négative, constatez-vous une amélioration et, si oui, dans quel sens ?</w:t>
      </w:r>
    </w:p>
    <w:p>
      <w:r>
        <w:rPr>
          <w:b/>
        </w:rPr>
        <w:t>E. 10</w:t>
      </w:r>
    </w:p>
    <w:p>
      <w:r>
        <w:t>Quelle est la capacité de travail de l'expertisé dans sa profession de menuisier et dans une activité adaptée aux limitations fonctionnelles ? Y-a-t-il une diminution de rendement ?</w:t>
      </w:r>
    </w:p>
    <w:p>
      <w:r>
        <w:rPr>
          <w:b/>
        </w:rPr>
        <w:t>E. 11</w:t>
      </w:r>
    </w:p>
    <w:p>
      <w:r>
        <w:t>Quelle est l'évolution de la capacité de travail au niveau de la main et du poignets droits depuis l'accident en date du 9 novembre 2015 ?</w:t>
      </w:r>
    </w:p>
    <w:p>
      <w:r>
        <w:rPr>
          <w:b/>
        </w:rPr>
        <w:t>E. 12</w:t>
      </w:r>
    </w:p>
    <w:p>
      <w:r>
        <w:t>Les atteintes au poignet consécutives à l'accident ont elles entraîné une atteinte durable à l'intégrité corporelle de l'expertisé et si oui de quel taux (annexe 3 de l'OLAA et les tables de la SUVA)?</w:t>
      </w:r>
    </w:p>
    <w:p>
      <w:r>
        <w:rPr>
          <w:b/>
        </w:rPr>
        <w:t>E. 13</w:t>
      </w:r>
    </w:p>
    <w:p>
      <w:r>
        <w:t>Comment vous déterminez-vous sur l'expertise du Dr J______? E. Invite l’expert à déposer, dans un délai de trois mois, un rapport en trois exemplaires auprès de la chambre de céans. F. Réserve le fond.</w:t>
      </w:r>
    </w:p>
    <w:p>
      <w:r>
        <w:t>La greffière</w:t>
      </w:r>
    </w:p>
    <w:p>
      <w:r>
        <w:t>Adriana MALANGA</w:t>
      </w:r>
    </w:p>
    <w:p>
      <w:r>
        <w:t>La présidente suppléante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