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ATAS/965/2023 vom 11. Dezember 2023</w:t>
      </w:r>
    </w:p>
    <w:p>
      <w:r>
        <w:t>GE Cour de justice, 2023-12-11, FR</w:t>
      </w:r>
    </w:p>
    <w:p>
      <w:r>
        <w:rPr>
          <w:b/>
        </w:rPr>
        <w:t xml:space="preserve">Quelle: </w:t>
      </w:r>
      <w:r>
        <w:t>https://mcp.opencaselaw.ch/entscheid/ge_gerichte_ATAS_965_2023</w:t>
      </w:r>
    </w:p>
    <w:p>
      <w:r>
        <w:t>FR: GE_GERICHTE ATAS/965/2023 du 11 décembre 2023</w:t>
      </w:r>
    </w:p>
    <w:p>
      <w:r>
        <w:t>IT: GE_GERICHTE ATAS/965/2023 del 11 dicembre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Le délai de recours est de trente jours (art. 56 et 60 LPGA ; art. 62 al. 1 let. a de la loi sur la procédure administrative du 12 septembre 1985 [LPA - E 5 10]). Interjeté dans le délai prévu par la loi, le recours sera déclaré recevable.</w:t>
      </w:r>
    </w:p>
    <w:p>
      <w:r>
        <w:rPr>
          <w:b/>
        </w:rPr>
        <w:t>E. 4</w:t>
      </w:r>
    </w:p>
    <w:p>
      <w:r>
        <w:t>Le litige porte sur le point de savoir si, dans le cadre de l'assurance obligatoire des soins, l'intimée doit prendre en charge le traitement dentaire dont la recourante sollicite la prise en charge et pour lequel elle a fourni deux devis.</w:t>
      </w:r>
    </w:p>
    <w:p>
      <w:r>
        <w:rPr>
          <w:b/>
        </w:rPr>
        <w:t>E. 4.1</w:t>
      </w:r>
    </w:p>
    <w:p>
      <w:r>
        <w:t>et les références).</w:t>
      </w:r>
    </w:p>
    <w:p>
      <w:r>
        <w:rPr>
          <w:b/>
        </w:rPr>
        <w:t>E. 5.1</w:t>
      </w:r>
    </w:p>
    <w:p>
      <w:r>
        <w:t>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l’un médecin ou d'un chiropraticien (al. 2 let. a).</w:t>
      </w:r>
    </w:p>
    <w:p>
      <w:r>
        <w:rPr>
          <w:b/>
        </w:rPr>
        <w:t>E. 5.2</w:t>
      </w:r>
    </w:p>
    <w:p>
      <w:r>
        <w:t>Selon l’art. 31 al. 1 LAMal, l’assurance obligatoire des soins prend en charge les coûts des soins dentaires s’ils sont occasionnés par une maladie grave et non</w:t>
      </w:r>
    </w:p>
    <w:p>
      <w:r>
        <w:t>A/3324/2022 - 7/13 - évitable du système de la mastication (let. a), ou s’ils sont occasionnés par une autre maladie grave ou ses séquelles (let. b), ou s’ils sont nécessaires pour traiter une maladie grave ou ses séquelles (let. c).</w:t>
      </w:r>
    </w:p>
    <w:p>
      <w:r>
        <w:rPr>
          <w:b/>
        </w:rPr>
        <w:t>E. 5.3</w:t>
      </w:r>
    </w:p>
    <w:p>
      <w:r>
        <w:t>Conformément à l’art. 33 al. 2 et 5 LAMal, en corrélation avec l’art. 33 let. d de l'ordonnance sur l'assurance-maladie du 27 juin 1995 (OAMal - RS 832.102), le Département fédéral de l’intérieur (ci-après : DFI) a édicté les art. 17 à 19a de l’ordonnance sur les prestations dans l’assurance obligatoire des soins en cas de maladie du 29 septembre 1995 (OPAS - RS 832.112.31), qui se rapportent à chacune des éventualités prévues à l’art. 31 al. 1 LAMal.</w:t>
      </w:r>
    </w:p>
    <w:p>
      <w:r>
        <w:rPr>
          <w:b/>
        </w:rPr>
        <w:t>E. 5.4</w:t>
      </w:r>
    </w:p>
    <w:p>
      <w:r>
        <w:t>L’art. 17 OPAS énumère les maladies graves et non évitables du système de la mastication au sens de l’art. 31 al. 1 let. a LAMal permettant la prise en charge par l’assurance obligatoire de soins à condition que l’affection puisse être qualifiée de maladie et dans la mesure où le traitement de l’affection l’exige. La let. b ch. 3 vise notamment, dans le cas des maladies de l'appareil de soutien de la dent (parodontopathies), les effets secondaires irréversibles de médicaments.</w:t>
      </w:r>
    </w:p>
    <w:p>
      <w:r>
        <w:rPr>
          <w:b/>
        </w:rPr>
        <w:t>E. 5.5</w:t>
      </w:r>
    </w:p>
    <w:p>
      <w:r>
        <w:t>Afin de déterminer si les frais de traitement d'une parodontopathie imputable à une chimiothérapie d'une pathologie maligne doivent être pris en charge par l'assurance-maladie obligatoire, il convient d'examiner si elle constitue l'effet secondaire irréversible de médicaments au sens de l'art. 17 let. b ch. 3 OPAS.</w:t>
      </w:r>
    </w:p>
    <w:p>
      <w:r>
        <w:rPr>
          <w:b/>
        </w:rPr>
        <w:t>E. 5.6</w:t>
      </w:r>
    </w:p>
    <w:p>
      <w:r>
        <w:t>L’art. 18 al. 1 OPAS dispose que l’assurance prend en charge les soins dentaires occasionnés par les autres maladies graves suivantes ou leurs séquelles et nécessaires à leur traitement (art. 31, al. 1, let. b, LAMal) : maladies du système hématopoïétique, neutropénie, agranulocytose (ch. 1), anémie aplastique sévère (ch. 2), leucémies (ch. 3), syndromes myélodysplastiques (SDM) (ch. 4), diathèses hémorragiques (ch. 5) (let. a) ; maladies du métabolisme : acromégalie (ch. 1), hyperparathyroïdisme (ch. 2), hypoparathyroïdisme idiopathique (ch. 3), hypophosphatasie (rachitisme génétique dû à une résistance à la vitamine D) (ch. 4) (let. b) ; autres maladies : polyarthrite chronique avec atteinte des maxillaires (ch. 1), maladie de Bechterew avec atteinte des maxillaires (ch. 2), arthropathies psoriasiques avec atteinte des maxillaires (ch. 3), maladie de Papillon-Lefèvre (ch. 4), sclérodermie (ch. 5), SIDA (ch. 6), maladies psychiques graves avec une atteinte consécutive grave de la fonction de mastication (ch. 7) (let. c) ; maladies des glandes salivaires (let. d). Aux termes de l’art. 18 al. 2 OPAS, les prestations mentionnées à l'al. 1 ne sont prises en charge que si l'assureur-maladie a donné préalablement une garantie spéciale et avec l'autorisation expresse du médecin- conseil.</w:t>
      </w:r>
    </w:p>
    <w:p>
      <w:r>
        <w:rPr>
          <w:b/>
        </w:rPr>
        <w:t>E. 5.7</w:t>
      </w:r>
    </w:p>
    <w:p>
      <w:r>
        <w:t>Selon la jurisprudence, les diagnostics et indications suivants ne tombent notamment pas sous le coup de l’art. 18 OPAS : atteintes du système de la mastication causées par le diabète, par des radiations en raison d’un carcinome, atteintes liées à une chimiothérapie et à une radiothérapie en cas de lymphome de Hodgkin et de cancer du sein, extraction d’une dent après une chimiothérapie</w:t>
      </w:r>
    </w:p>
    <w:p>
      <w:r>
        <w:t>A/3324/2022 - 8/13 - administrée en raison d’un cancer, colite (Gebhard EUGSTER, Rechtsprechung des Bundesgerichts zum Sozialversicherungsrecht, Bundesgesetz über die Krankenversicherung [KVG], 2010, n. 31 ad art. 31 LAMal).</w:t>
      </w:r>
    </w:p>
    <w:p>
      <w:r>
        <w:rPr>
          <w:b/>
        </w:rPr>
        <w:t>E. 5.8</w:t>
      </w:r>
    </w:p>
    <w:p>
      <w:r>
        <w:t>L’art. 19 OPAS a pour objet la prise en charge des soins dentaires nécessaires afin de réaliser et garantir les traitements médicaux au sens de l’art. 31 al. 1 let. c LAMal.</w:t>
      </w:r>
    </w:p>
    <w:p>
      <w:r>
        <w:rPr>
          <w:b/>
        </w:rPr>
        <w:t>E. 5.9</w:t>
      </w:r>
    </w:p>
    <w:p>
      <w:r>
        <w:t>Les coûts de tous les traitements dentaires qui sont nécessaires en raison de la grave maladie au sens de l’art. 31 al. 1 let. b LAMal doivent être pris en charge (ATF 124 V 351 consid. 2d). La maladie du système de la mastication doit être objectivement inévitable. Le caractère non évitable suppose une hygiène buccale suffisante au regard des connaissances odontologiques actuelles ; une personne assurée qui, en raison de sa constitution, de maladies dont elle a souffert ou de traitements qu'elle a suivis, présente une sensibilité accrue aux affections dentaires, ne peut se contenter d'une hygiène buccale usuelle. Les mesures d’hygiène à prendre au quotidien et les visites régulières chez le dentiste doivent toutefois rester raisonnablement exigibles (ATF 128 V 59 consid. 6d). Lorsque les soins d’hygiène buccaux sont simplement plus difficiles mais pas impossibles, par exemple en raison d’une dépression, le critère de l’inévitabilité n’est pas réalisé (ATF 128 V 70 consid. 5a ; arrêt du Tribunal fédéral 9C_232/2007 du 5 mars 2008 consid. 3).</w:t>
      </w:r>
    </w:p>
    <w:p>
      <w:r>
        <w:rPr>
          <w:b/>
        </w:rPr>
        <w:t>E. 5.10</w:t>
      </w:r>
    </w:p>
    <w:p>
      <w:r>
        <w:t>De jurisprudence constante, la liste des affections de nature à nécessiter des soins dentaires à la charge de l'assurance est réglée de manière exhaustive aux art. 17 à 19 OPAS (ATF 129 V 80 consid. 1.3, arrêt du Tribunal fédéral 9C_223/2009 du 16 avril 2010 consid. 1.2).</w:t>
      </w:r>
    </w:p>
    <w:p>
      <w:r>
        <w:rPr>
          <w:b/>
        </w:rPr>
        <w:t>E. 5.11</w:t>
      </w:r>
    </w:p>
    <w:p>
      <w:r>
        <w:t>Certes, les dispositions de l'OPAS n'échappent pas au contrôle du juge, sous l'angle de leur légalité et de leur constitutionnalité. Néanmoins, le Tribunal fédéral des assurances s'impose une grande retenue dans cet examen. En effet, l'ordonnance, souvent révisée, peut être corrigée à bref délai par le DFI. En outre, le catalogue des maladies repose sur une consultation préalable de la Commission fédérale des prestations générales. Or, sous l'angle médical, les avis de la commission sont propres à assurer au contenu de la liste une certaine homogénéité, qui ne serait plus garantie en cas de complément de cette liste par le juge (arrêt du Tribunal fédéral des assurances K 107/00 du 6 novembre 2000 consid. 2). Un complément par le juge nécessiterait en outre une consultation préalable d’experts, ce qui prendrait un temps considérable (ATF 124 V 185 consid. 6).</w:t>
      </w:r>
    </w:p>
    <w:p>
      <w:r>
        <w:rPr>
          <w:b/>
        </w:rPr>
        <w:t>E. 5.12</w:t>
      </w:r>
    </w:p>
    <w:p>
      <w:r>
        <w:t>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(ATF 142 V 249 consid. 4.3). Faute d'indices permettant de penser que la limitation critiquée serait la</w:t>
      </w:r>
    </w:p>
    <w:p>
      <w:r>
        <w:t>A/3324/2022 - 9/13 - conséquence d'une lacune manifeste ou reposerait sur des considérations arbitraires de la part du législateur, il n'y a pas place pour substituer une autre appréciation à celle de l'autorité compétente, d'autant moins lorsqu'elle est fondée sur l'avis de spécialistes (ATF 139 V 509 consid. 5.3). D'autre part, le juge n'a pas la possibilité d'étendre le contenu d’une liste par un raisonnement analogique (ATF 125 V 21 consid. 6a ; arrêt du Tribunal fédéral des assurances K 46/05 du 13 février 2006 consid. 5.1).</w:t>
      </w:r>
    </w:p>
    <w:p>
      <w:r>
        <w:rPr>
          <w:b/>
        </w:rPr>
        <w:t>E. 5.13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5.14</w:t>
      </w:r>
    </w:p>
    <w:p>
      <w:r>
        <w:t>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5.15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w:t>
      </w:r>
    </w:p>
    <w:p>
      <w:r>
        <w:t>A/3324/2022 - 10/13 - effectuée uniquement sur la base d’un dossier peut se voir reconnaître une pleine valeur probante (arrêt du Tribunal fédéral 8C_681/2011 du 27 juin 2012 consid.</w:t>
      </w:r>
    </w:p>
    <w:p>
      <w:r>
        <w:rPr>
          <w:b/>
        </w:rPr>
        <w:t>E. 5.16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3a).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5.17</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consid. 3.2, 138 V 218 consid. 6).</w:t>
      </w:r>
    </w:p>
    <w:p>
      <w:r>
        <w:rPr>
          <w:b/>
        </w:rPr>
        <w:t>E. 5.18</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Selon une jurisprudence constante, la liste des affections de nature à nécessiter des soins</w:t>
      </w:r>
    </w:p>
    <w:p>
      <w:r>
        <w:t>A/3324/2022 - 11/13 - dentaires à la charge de l’assurance obligatoire des soins en cas de maladie est exhaustive (ATF 127 V 332 consid. 3a et 343 consid. 3b ; ATF 124 V 194 consid. 4).</w:t>
      </w:r>
    </w:p>
    <w:p>
      <w:r>
        <w:rPr>
          <w:b/>
        </w:rPr>
        <w:t>E. 6</w:t>
      </w:r>
    </w:p>
    <w:p>
      <w:r>
        <w:t>En cas de désaccord avec l’avis précité, pouvez-vous exposer en quoi consiste votre désaccord ?</w:t>
      </w:r>
    </w:p>
    <w:p>
      <w:r>
        <w:rPr>
          <w:b/>
        </w:rPr>
        <w:t>E. 6.1</w:t>
      </w:r>
    </w:p>
    <w:p>
      <w:r>
        <w:t>En l’espèce, si l’on peut d’emblée exclure l’application des art. 19 et 18 OPAS, dans la mesure où l’on ne se trouve ni dans le cas où le traitement dentaire envisagé est un préalable nécessaire à un traitement contre le cancer ni dans la liste des affections de la seconde disposition, l’on doit s’interroger sur l’application de l’art. 17 let. b ch. 3 OPAS au cas d’espèce. En effet, cette disposition vise le cas de parodontopathie. Avant de pouvoir déterminer si les frais de traitement d'une parodontopathie imputable à une chimiothérapie d'une pathologie maligne doivent être pris en charge par l'assurance-maladie obligatoire et d'examiner ainsi si elle constitue l'effet secondaire irréversible de médicaments au sens de l'art. 17 let. b ch. 3 OPAS, il sied de déterminer s’il existe un lien de causalité entre elle et le traitement dentaire préconisé. Bien que qualifiée par le Dr D______ de parodontie modérée généralisée avec perte osseuse et présence de tartre visible sur les orthopantomogrammes non médicamenteuse (supra A. w.), sans lien de causalité avec l’état actuel de la dentition de la recourante, d’autres médecins semblent mettre en lien de causalité l’état de la dentition de la recourante et les chimiothérapies subies par cette dernière. Le Dr C______ a relevé une bonne hygiène bucco-dentaire et a mentionné que les dents 15-35-36 étaient cassées. Il a ajouté que l’état bucco-dentaire était dû principalement aux chimiothérapies ayant fragilisé les dents de la recourante. L’oncologue F______ a, pour sa part, indiqué que les différents traitements contre le cancer avaient engendré des nausées, des vomissements quotidiens et répétés et des remontées acides qui avaient pu avoir un effet délétère sur sa dentition. Ces avis ne permettent pas à eux seuls à établir le lien de causalité entre les traitements et la parodontie ou parodonpathie et ce d’autant moins qu’il apparaît au dossier que la recourante avait déjà subi des traitements sur ces mêmes dents avant les chimiothérapies. Les médecins ayant établi les devis n’ayant suivi la patiente qu’après les premiers traitements par chimiothérapie, l’on ne peut leur reprocher de ne pas pouvoir fournir davantage de précision sur le diagnostic et la raison du besoin de traitement. Il apparaît néanmoins dans leurs écrits que les traitements ont suivi des cycles de chimiothérapie ayant eu des conséquences graves pour l’assurée (nausées, vomissements quotidiens et répétés, remontées acides). Par ailleurs, le fait que la recourante n’a pas pu fournir le dossier de son hygiéniste dentaire dont le cabinet est fermé ne suffit pas à conclure qu’elle avait une mauvaise hygiène dentaire. Au contraire, tout indique qu’elle était consciente des bonnes pratiques en la matière et a vraisemblablement consulté un hygiéniste</w:t>
      </w:r>
    </w:p>
    <w:p>
      <w:r>
        <w:t>A/3324/2022 - 12/13 - à réitérées reprises (au vu notamment des recherches qu’elle a faites pour récupérer son dossier et compte tenu de sa formation auprès d’un dentiste). L’on ne saurait dans ces circonstances nier, sans instruction médicale, le lien de causalité sans tenter d’établir si la péjoration de l’état bucco-dentaire est due aux chimiothérapies ou si, comme l’indique le médecin de l’intimée, cet état existait préalablement et si le besoin de soin a été rendu nécessaire au vu du temps écoulé depuis les premiers traitements de ces dents. Le dossier ne permettant pas de rendre une décision éclairée sur l’origine des lésions dentaires dont la recourante sollicite la prise en charge des coûts par l’intimée et le lien de causalité entre les traitements par chimiothérapie et le besoin de soin actuel, la chambre de céans ordonnera une expertise, laquelle est confiée au docteur J______.</w:t>
      </w:r>
    </w:p>
    <w:p>
      <w:r>
        <w:t>A/3324/2022 - 13/13 -</w:t>
      </w:r>
    </w:p>
    <w:p>
      <w:r>
        <w:t>PAR CES MOTIFS, LA CHAMBRE DES ASSURANCES SOCIALES : Statuant préparatoirement</w:t>
      </w:r>
    </w:p>
    <w:p>
      <w:r>
        <w:t>A. Ordonne une expertise dentaire, l’expert ayant pour mission d’examiner et d’entendre Madame A______, après s’être entouré de tous les éléments utiles et après avoir pris connaissance du dossier de l’intimée, ainsi que du dossier de la présente procédure en s’entourant d’avis de tiers au besoin ; B. Charge l’expert de répondre aux questions suivantes : 1. Quel est le diagnostic de l’affection dont souffre la recourante ? 2. Quelles sont les causes de l’affection constatée ? 3. Existe-il un lien de causalité entre le besoin actuel de soins (devis au dossier) et les cycles de chimiothérapie subis par la recourante ? 4. Sans les cycles de chimiothérapie et l’ensemble des médicaments pris par la recourante, les traitements devisés auraient-ils été nécessaires ? 5. Êtes-vous d’accord avec l’avis du médecin-conseil de l’intimée et le cas échéant pourquoi ?</w:t>
      </w:r>
    </w:p>
    <w:p>
      <w:r>
        <w:rPr>
          <w:b/>
        </w:rPr>
        <w:t>E. 7</w:t>
      </w:r>
    </w:p>
    <w:p>
      <w:r>
        <w:t>Faire toutes remarques utiles sur ce cas. C. Commet à ces fins le Dr J______. D. Invite l’expert à déposer son rapport en trois exemplaires à la chambre de céans, dans un délai de trois mois ; E. Réserve le fond.</w:t>
      </w:r>
    </w:p>
    <w:p>
      <w:r>
        <w:t>La greffière</w:t>
      </w:r>
    </w:p>
    <w:p>
      <w:r>
        <w:t>Nathalie KOMAISKI</w:t>
      </w:r>
    </w:p>
    <w:p>
      <w:r>
        <w:t>La présidente</w:t>
      </w:r>
    </w:p>
    <w:p>
      <w:r>
        <w:t>Marine WYSSENBACH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