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ATAS/965/2015 vom 14. Dezember 2015</w:t>
      </w:r>
    </w:p>
    <w:p>
      <w:r>
        <w:t>GE Cour de justice, 2015-12-14, FR</w:t>
      </w:r>
    </w:p>
    <w:p>
      <w:r>
        <w:rPr>
          <w:b/>
        </w:rPr>
        <w:t xml:space="preserve">Quelle: </w:t>
      </w:r>
      <w:r>
        <w:t>https://mcp.opencaselaw.ch/entscheid/ge_gerichte_ATAS_965_2015</w:t>
      </w:r>
    </w:p>
    <w:p>
      <w:r>
        <w:t>FR: GE_GERICHTE ATAS/965/2015 du 14 décembre 2015</w:t>
      </w:r>
    </w:p>
    <w:p>
      <w:r>
        <w:t>IT: GE_GERICHTE ATAS/965/2015 del 14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Interjeté en temps utile, le recours est recevable (art. 60 LPGA).</w:t>
      </w:r>
    </w:p>
    <w:p>
      <w:r>
        <w:rPr>
          <w:b/>
        </w:rPr>
        <w:t>E. 4</w:t>
      </w:r>
    </w:p>
    <w:p>
      <w:r>
        <w:t>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(al. 1). Les autorités administratives et les juridictions administratives saisies d’une question préjudicielle sont toutefois liées par les décisions de l’organe compétent qui l’ont résolue avec force de chose jugée (al. 2).</w:t>
      </w:r>
    </w:p>
    <w:p>
      <w:r>
        <w:rPr>
          <w:b/>
        </w:rPr>
        <w:t>E. 5</w:t>
      </w:r>
    </w:p>
    <w:p>
      <w:r>
        <w:t>En l’espèce, l’intimé s’est référé à l’instruction médicale menée par la SUVA, dont les conclusions ont été reprises par le SMR, pour fonder sa décision de refus de prestations. Le recourant ayant formé une opposition à l’encontre de la décision de la SUVA du 1er octobre 2015, il se justifie de suspendre la présente procédure dans l’attente de l’issue de la procédure LAA, ce d’autant que le recourant en a fait la demande et que l’intimé ne s’y oppose pas.</w:t>
      </w:r>
    </w:p>
    <w:p>
      <w:r>
        <w:t>A/188/2015 - 15/15 -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