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ATAS/964/2016 vom 17. November 2016</w:t>
      </w:r>
    </w:p>
    <w:p>
      <w:r>
        <w:t>GE Cour de justice, 2016-11-17, FR</w:t>
      </w:r>
    </w:p>
    <w:p>
      <w:r>
        <w:rPr>
          <w:b/>
        </w:rPr>
        <w:t xml:space="preserve">Quelle: </w:t>
      </w:r>
      <w:r>
        <w:t>https://mcp.opencaselaw.ch/entscheid/ge_gerichte_ATAS_964_2016</w:t>
      </w:r>
    </w:p>
    <w:p>
      <w:r>
        <w:t>FR: GE_GERICHTE ATAS/964/2016 du 17 novembre 2016</w:t>
      </w:r>
    </w:p>
    <w:p>
      <w:r>
        <w:t>IT: GE_GERICHTE ATAS/964/2016 del 17 novembre 2016</w:t>
      </w:r>
    </w:p>
    <w:p>
      <w:pPr>
        <w:pStyle w:val="Heading2"/>
      </w:pPr>
      <w:r>
        <w:t>Erwägungen</w:t>
      </w:r>
    </w:p>
    <w:p>
      <w:r>
        <w:rPr>
          <w:b/>
        </w:rPr>
        <w:t>E. 11</w:t>
      </w:r>
    </w:p>
    <w:p>
      <w:r>
        <w:t>Par écriture du 12 novembre 2015, l’assurée a interjeté recours contre cette décision en concluant à l’octroi de mesures de réadaptation et d’une rente entière dès décembre 2012. En substance, la recourante conteste en premier lieu le statut qui lui a été reconnu par l’OAI, à savoir la part consacrée à l’exercice d’une activité professionnelle. Elle allègue qu’avant d’être atteinte dans sa santé, elle travaillait à un taux avoisinant 93%. Pour le surplus, la recourante conteste la capacité résiduelle de travail de 50% qui lui a été reconnue, vu la périarthrite de sa hanche gauche. Elle fait remarquer que son activité habituelle de nettoyeuse implique de pousser des chariots, de balayer, de porter de lourdes charges, de monter des échelles, etc. La recourante en tire la conclusion que l’intimé aurait dû procéder à une comparaison entre le revenu avant invalidité et celui qu’aurait pu lui procurer une activité bien plus légère. La recourante ajoute qu’il aurait également fallu tenir compte d’une baisse de rendement et de l’importance de ses limitations fonctionnelles, tant sur le plan psychique que physique et que le revenu d’invalide aurait encore dû être réduit pour prendre en considération le fait qu’elle a exercé peu de temps en Suisse, qu’elle est de nationalité étrangère et qu’elle est très peu intégrée.</w:t>
      </w:r>
    </w:p>
    <w:p>
      <w:r>
        <w:rPr>
          <w:b/>
        </w:rPr>
        <w:t>E. 12</w:t>
      </w:r>
    </w:p>
    <w:p>
      <w:r>
        <w:t>Invité à se déterminer, l’intimé, dans sa réponse du 30 novembre 2015, a conclu au rejet du recours. S’agissant de la capacité de travail résiduelle de l’assurée, l’intimé rappelle que celle-ci a fait l’objet de plusieurs expertises qui, sur le plan psychiatrique, ont conclu soit à une pleine capacité de travail, soit à une capacité réduite à 50%, baisse de rendement incluse, et, sur le plan rhumatologique, à une pleine capacité de travail dans toute activité.</w:t>
      </w:r>
    </w:p>
    <w:p>
      <w:r>
        <w:t>A/3960/2015 - 10/21 - Selon l’intimé, les médecins traitants ne font valoir aucun élément objectif justifiant le fait que leur appréciation diffère de celle de ces experts. Quant au calcul du degré d’invalidité, l’intimé fait valoir que la société B______, en date du 13 août 2011, a indiqué que l’assurée avait travaillé pour elle 10 h./sem. pour un horaire habituel de 42.5 h./sem. et que l’école de danse a affirmé avoir occupé l’assurée de 15 à 20 h./sem. L’intimé fait valoir qu’en retenant un horaire habituel de 42.5 h./sem. appliqué par l’employeur principal, il a opté pour un calcul plus favorable à l’assurée que s’il s’était référé à l’usage usuel de la branche.</w:t>
      </w:r>
    </w:p>
    <w:p>
      <w:r>
        <w:rPr>
          <w:b/>
        </w:rPr>
        <w:t>E. 13</w:t>
      </w:r>
    </w:p>
    <w:p>
      <w:r>
        <w:t>Par écriture du 4 janvier 2016, l’assurée a complété son recours. Elle soutient être totalement inapte à travailler, quelle que soit l’activité envisagée, en raison de ses problèmes psychiques et physiques. Elle reproche en particulier à l’expert rhumatologue de la CRR de n’avoir pas mentionné les douleurs dont elle souffre dans les régions scapulaire, cervicale et lombaire et y voit la preuve d’un défaut de valeur probante. S’agissant de son horaire de travail avant invalidité, elle allègue que le nombre d’heures effectuées auprès de l’école de danse (17,5 h./sem.) a été sous-évalué. Selon elle, c’est un horaire de 19 h./sem., voire 24 h./sem. qui doit être retenu. De même, la recourante conteste la durée habituelle de travail hebdomadaire de 42,5 h./sem. sur laquelle s’est basé l’OAI. Cet horaire, appliqué par B______, ne saurait selon elle être considéré comme exemplatif de tout le secteur. Elle suggère quant à elle de retenir une durée de travail de 41 h./sem. Enfin, la recourante allègue qu’elle cumule plusieurs des facteurs de réduction supplémentaire : des limitations importantes, un nombre réduit d’années de service en Suisse, un manque de formation, sa nationalité étrangère et le fait de devoir travailler à temps partiel. Elle en tire la conclusion qu’il conviendrait d’appliquer la réduction maximale de 25%.</w:t>
      </w:r>
    </w:p>
    <w:p>
      <w:r>
        <w:rPr>
          <w:b/>
        </w:rPr>
        <w:t>E. 14</w:t>
      </w:r>
    </w:p>
    <w:p>
      <w:r>
        <w:t>Une audience d’enquêtes s’est tenue en date du 11 février 2016 au cours de laquelle a été entendu le Dr E______, psychiatre traitant depuis février 2012. Le témoin a indiqué « être d’accord à 90% » avec les conclusions du rapport de la CRR. Il a expliqué que son avis divergeait sur quelques détails. Ainsi, le diagnostic de trouble anxieux généralisé lui semble avoir été retenu à tort : certes, une série de symptômes anxieux sont présents, mais ils font selon lui partie intégrante du diagnostic principal de trouble dépressif récurrent. Le témoin a toutefois convenu que cela n’avait pas grande incidence sur les conclusions. Il a indiqué approuver la capacité résiduelle de travail de 50% retenue dans une activité adaptée, à condition que la profession de femme de ménage ou de nettoyeuse ne soit pas considérée comme telle, car c’est cette activité qui a contribué à l’apparition et à l’augmentation de l’atteinte dépressive chez sa patiente. Le témoin a expliqué qu’il situe l’apparition de l’état dépressif à 2006 (date du</w:t>
      </w:r>
    </w:p>
    <w:p>
      <w:r>
        <w:t>A/3960/2015 - 11/21 - décès de la sœur de l’assurée) ; cet état dépressif s’est aggravé en 2009, avec la chute de l’assurée ; malgré tout, l’intéressée, entre 2009 et 2012, a augmenté son temps de travail, malgré ses douleurs et son état dépressif. Le témoin a émis la crainte que, vu la disposition d’esprit de sa patiente, le même phénomène se reproduise si elle reprend son activité. Le témoin a insisté sur la nécessité de définir quelle activité devrait être envisagée avec le concours de l’assurée, afin d’emporter son adhésion et de la motiver. Cela pourrait l’aider à sortir de son état dépressif. Il a également souligné l’importance d’un retour progressif au travail, alléguant qu’il lui paraissait impossible de remettre sa patiente en activité à 50% du jour au lendemain, quelle que soit l’activité envisagée. À titre de limitations fonctionnelles, le témoin a énuméré : - des difficultés de concentration empêchant l’assurée d’accomplir correctement une tâche dans la durée et dans l’intensité ; - une fatigue induite par l’état dépressif qui conduit à un ralentissement ; - des douleurs qui ont pour conséquences l’obligation de faire des pauses, une limitation des mouvements et une impossibilité à conserver des positions statiques ; - un certain repli sur soi. Enfin, le témoin a indiqué que les empêchements retenus par l’enquêtrice ménagère ne lui paraissaient pas critiquables.</w:t>
      </w:r>
    </w:p>
    <w:p>
      <w:r>
        <w:rPr>
          <w:b/>
        </w:rPr>
        <w:t>E. 15</w:t>
      </w:r>
    </w:p>
    <w:p>
      <w:r>
        <w:t>A également été entendue la Dresse F______, rhumatologue qui suit l’assurée depuis avril 2010. Le témoin a confirmé avoir pour sa part conclu à une périarthrite de la hanche gauche chronique, ayant évolué en un syndrome douloureux chronique (les douleurs se sont en effet étendues aux lombaires, à l’autre hanche, puis aux membres inférieurs et supérieurs, même si la localisation principale demeure néanmoins au niveau de la hanche gauche). Cela se traduit par les limitations suivantes : éviter les gros travaux tels que le ménage, le port de charges et les déplacements. La douleur est restée continue, malgré les traitements, infiltrations et séances de physiothérapie. Il n’y a eu aucune amélioration durable. Le témoin a précisé avoir constaté, dès la première consultation, l’existence d’un état dépressif de fond déjà bien installé, évidemment renforcé par les douleurs. Le témoin a indiqué adhérer aux conclusions du psychiatre de la CRR, à savoir une capacité de 50% dans une activité adaptée et une réadaptation progressive. Pour sa part, le médecin préconisait une tentative de reprise à 25% en accord avec le psychiatre traitant, suivie d’une augmentation jusqu’à 50%.</w:t>
      </w:r>
    </w:p>
    <w:p>
      <w:r>
        <w:t>A/3960/2015 - 12/21 - Selon le témoin, il serait utile d’aider l’assurée à retrouver une activité plus légère que celle de nettoyeuse, qui lui paraît devoir être exclue. En effet, c’est parce que l’assurée a continué à exercer malgré son atteinte, en augmentant même son temps de travail, qu’un cercle vicieux s’est installé, les douleurs venant renforcer la dépression et réciproquement. Le témoin s’est en revanche écarté des conclusions de l’expert rhumatologue s’agissant du caractère non incapacitant des douleurs : selon le témoin, l’incapacité est clairement totale dans l’activité de nettoyeuse. Enfin, le témoin a indiqué ne pouvoir se prononcer quant à une éventuelle baisse de rendement supplémentaire dans une activité adaptée.</w:t>
      </w:r>
    </w:p>
    <w:p>
      <w:r>
        <w:rPr>
          <w:b/>
        </w:rPr>
        <w:t>E. 16</w:t>
      </w:r>
    </w:p>
    <w:p>
      <w:r>
        <w:t>Entendue en comparution personnelle, la recourante a allégué avoir travaillé pour l’école de danse à raison de 4 h./jour, du lundi au vendredi, voire un peu plus durant les vacances scolaires pour les nettoyages de fond ; s’y ajoutaient 2 h. le samedi et 10 h./sem. pour B______ et 6 h./sem. chez des particuliers. Les travaux de nettoyage dans l’école de danse étaient lourds : ils consistaient en effet à nettoyer les salles de danse, les vestiaires, les douches, la réception, la cafétéria, les vitres, etc., le tout sur trois étages. La recourante a dit pouvoir envisager une activité n’impliquant pas d’effort physique. Elle a souligné être au bénéfice d’une formation de gestionnaire administrative et a expliqué avoir été placée, dans le cadre de la détection précoce, dans une société pour un travail de bureautique ; elle s’est cependant heurtée à des problèmes de langue ; par ailleurs, ses connaissances devraient être rafraîchies.</w:t>
      </w:r>
    </w:p>
    <w:p>
      <w:r>
        <w:rPr>
          <w:b/>
        </w:rPr>
        <w:t>E. 17</w:t>
      </w:r>
    </w:p>
    <w:p>
      <w:r>
        <w:t>Dans ses écritures après enquêtes du 25 février 2016, l’intimé a persisté dans ses conclusions en rejet du recours. Il maintient que l’activité habituelle est encore exigible et considère dès lors que c’est dans ce domaine que la recourante pourra au mieux exploiter sa capacité de gain résiduelle.</w:t>
      </w:r>
    </w:p>
    <w:p>
      <w:r>
        <w:rPr>
          <w:b/>
        </w:rPr>
        <w:t>E. 18</w:t>
      </w:r>
    </w:p>
    <w:p>
      <w:r>
        <w:t>Le 10 mars 2016, la recourante a également persisté dans ses conclusions en l’octroi d’une rente entière. Elle considère que l’audition des Drs F______ et E______ a démontré que l’activité de femme de ménage n’est plus exigible de sa part. Elle en tire la conclusion qu’elle devrait dès lors se voir accorder des mesures de réadaptation, avant que ne soit calculé son degré d’invalidité. S’agissant du revenu avant invalidité, elle fait valoir que du 8 juin – date du début de son contrat – au 31 décembre 2010, elle a réalisé auprès de l’école de danse un revenu de CHF 29'651.- qui, annualisé, conduit à un montant de CHF 39'848.-, correspondant, en 2012, à un revenu de CHF 40'565.-.</w:t>
      </w:r>
    </w:p>
    <w:p>
      <w:r>
        <w:t>A/3960/2015 - 13/21 - Quant au revenu d’invalide, il devrait être calculé en se basant sur les salaires statistiques, en tenant compte d’une baisse de rendement de 20% et d’une réduction supplémentaire de 25%.</w:t>
      </w:r>
    </w:p>
    <w:p>
      <w:r>
        <w:t>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 4. Le litige porte sur le droit de l'assurée aux prestations de l'assurance-invalidité. 5. a) Se pose en premier lieu la question de savoir quel statut il convient d'accorder à l'assurée. L'intimé a considéré que, sans atteinte à sa santé, l’intéressée aurait continué à exercer une activité professionnelle au même taux que précédemment, taux qu’il a fixé à 79%. La recourante admet ne pouvoir se voir reconnaître un statut d’active à plein temps mais soutient que son taux d’occupation avant invalidité avoisinait plutôt 93%.</w:t>
      </w:r>
    </w:p>
    <w:p>
      <w:r>
        <w:t>A/3960/2015 - 14/21 -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w:t>
      </w:r>
    </w:p>
    <w:p>
      <w:r>
        <w:t>A/3960/2015 - 15/21 -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6. En l'espèce, la recourante allègue qu’avant d’être atteinte dans sa santé, elle travaillait en moyenne 38 h./sem. (10 chez B______, 24 à l’école de danse et quelques heures supplémentaires chez des particuliers). Selon elle, son taux d’activité avoisinait donc 93%, en comparaison avec la durée moyenne de travail dans la profession (41 h./sem. en 2011). Les 10 heures de travail hebdomadaires pour B______ ne sont pas contestables car confirmées à plusieurs reprises par l’employeur. Il n’en va pas de même, en revanche, du chiffre de 24 h./sem. avancé par la recourante s’agissant de son travail pour l’école de danse. Interpellé par l’intimé, cet employeur a en effet fait état d’un horaire variant entre 15 et 20 h./sem. Le certificat de salaire établi par ce même employeur le 25 janvier 2011 pour la période de juin à décembre 2010 (7 mois) fait mention d’un revenu total de CHF 10'197.-, ce qui correspond à un revenu de 1'457.- CHF/mois, soit environ 364.- CHF/sem. et, si l’on tient compte du fait que l’assurée était rémunérée 22.- CHF/h., à un nombre d’heures hebdomadaires de travail d’environ 16,5, ce qui corrobore les dires de l’employeur. S’il est vrai que d’autres documents au dossier font état d’un horaire plus intensif (cf. rapport d’évaluation de l’OAI du 28 février 2012 faisant état de 24 h./sem. [pce OAI 8, p. 4], déclaration maladie de la Bâloise faisant état de 19 h./sem. [pce OAI 32, p. 33] et rapport d’évaluation de l’OAI du 23 novembre 2012 faisant mention de 35 h./sem. [doc. 47, p. 2]), ils ne sauraient revêtir de valeur probante, dans la mesure où ils ont été rédigés sur la base des dires de l’assurée ou par elle-même. C’est par conséquent à juste titre que l’intimé a retenu une durée de travail hebdomadaire moyenne de 17,5 h./sem. chez cet employeur. S’y ajoutent les 6 h./sem. réalisées chez des particuliers retenues par l’OAI (pce 115) et non contestées par la</w:t>
      </w:r>
    </w:p>
    <w:p>
      <w:r>
        <w:t>A/3960/2015 - 16/21 - recourante, ce qui conduit à une durée totale de travail de 33,5 heures par semaine (10 + 17.5 + 6) avant atteinte à la santé. Pour calculer à quel taux d’activité correspondent ces 33,5 heures, la Cour de céans est d’avis qu’on ne saurait se référer ni à la durée de travail prescrite chez B______ - car celui-ci, contrairement à ce qu’a retenu l’intimé, n’était pas le principal employeur, l’assurée travaillant davantage à l’école de danse -, ni sur la durée mentionnée par la convention collective de travail applicable dans le secteur du nettoyage - qui, comme le fait remarquer à juste titre la recourante, correspond à la durée maximale admise et non à une durée moyenne de travail dans le domaine. La recourante suggère pour sa part de se référer à la statistique « Noga » (nomenclature générale des activités économiques élaborée par l’Office fédéral de la statistique) 2008, qui retient une durée de travail hebdomadaire de 41 h./sem. à Genève. Il paraît effectivement raisonnable, en un tel cas, de se référer aux statistiques. Dès lors, la Cour de céans retiendra la durée de travail hebdomadaire moyenne réalisée par tous les travailleurs en 2010, à savoir 41,6 h./sem. (cf. La Vie économique, 6/2013, p. 90, tableau B9.2). Cette année-là, la recourante a travaillé 33,5 h./sem., ce qui correspond à un taux d’activité de 80.6%, les 19,4% restant étant dévolus aux taches habituelles. On relèvera que retenir la statistique Noga comme suggéré par la recourante ne conduirait qu’à un taux d’occupation guère plus élevé, soit 81.7%. 7. a) Il convient à présent d’examiner si la recourante peut se voir reconnaître un degré d’invalidité suffisant pour lui ouvrir droit aux prestations de l’assurance.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w:t>
      </w:r>
    </w:p>
    <w:p>
      <w:r>
        <w:t>A/3960/2015 - 17/21 -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207ss.; 106 V 88; 110 V 275; RCC 1981 p. 124 consid. 1a). c) En vertu de l’art. 28 al. 2 LAI, l’assuré a droit à une rente entière s’il est invalide à 70% au moins, à un trois-quarts de rente s'il est invalide à 60% au moins, à une demi-rente s’il est invalide à 50% au moins, ou à un quart de rente s’il est invalide à 40%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w:t>
      </w:r>
    </w:p>
    <w:p>
      <w:r>
        <w:t>A/3960/2015 - 18/21 -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arrêt du Tribunal fédéral des assurances I 592/99 du 13 mars 2000 consid. b/ee). 8. En l’occurrence, l’intimé a admis une réduction de la capacité de travail de la recourante à 50% dans toute activité. L’intimé se réfère aux conclusions de l’expertise de la CRR. La recourante conteste la capacité résiduelle de travail de 50% qui lui a été reconnue. Elle reproche à la CRR d’avoir occulté sa souffrance physique et soutient que, vu la périarthrite de sa hanche gauche, il n’est pas raisonnable de conclure qu’elle pourrait continuer à exercer son activité habituelle de nettoyeuse, laquelle</w:t>
      </w:r>
    </w:p>
    <w:p>
      <w:r>
        <w:t>A/3960/2015 - 19/21 - implique de pousser des chariots, de balayer, de porter de lourdes charges, de monter des échelles, etc. Il convient tout d'abord de se prononcer sur la valeur à accorder à l'expertise de la CRR. Celle-ci a été diligentée par des spécialistes reconnus,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ne pas retenir l'ensemble des empêchements (et/ou douleurs) allégués par l'intéressée. Les conclusions auxquelles aboutissent les examinateurs, motivées de façon étoffée, sont convaincantes. En de telles circonstances, la Cour de céans considère que le rapport d'expertise du 15 octobre 2014 a pleine valeur probante. Les avis des médecin et psychiatre traitant ne sauraient suffire à jeter le doute sur les conclusions des experts. En effet, ils ne font état d’aucun élément objectif qui aurait été ignoré des experts de la CRR. Bien plus, tant le psychiatre que le rhumatologue traitants ont approuvé la capacité résiduelle de travail de 50% retenue. Certes, tous deux ont émis l’avis que l’activité de nettoyeuse n’était pas adaptée à leur patiente, mais les arguments avancés à l’appui de cette position (crainte que l’assurée n’outrepasse ses limites et n’augmente son temps de travail en dépit des douleurs) constituent des éléments subjectifs qui ne sauraient suffire à écarter l’avis des experts. Les médecins de la CRR sont parvenus à la conclusion que l’assurée, en dépit de l’atteinte à sa santé, demeurait capable d’exercer à 50% toute activité, y compris sa profession habituelle. Sur ce point en particulier, les experts ont expliqué que l’assurée, à l’examen clinique, était libre de ses mouvements, hormis une boiterie d’esquive fluctuante et intermittente. Ils n’ont relevé que de banals troubles de la statique. Ils ont souligné que l’imagerie ne montrait aucune anomalie susceptible d’expliquer l’ampleur du tableau douloureux au niveau de la hanche et en ont tiré la conclusion que « la dimension nociceptive de la douleur était insignifiante et ne justifiaient pas une quelconque incapacité de travail ». A cet égard, on soulignera que l’expert rhumatologue H______, en avril 2012, était parvenu aux mêmes conclusions, à savoir une capacité de travail préservée dans l’activité habituelle. Force est de constater que les médecins traitants ne font valoir aucun élément objectif justifiant le fait que leur appréciation diffère de celle des experts. Il suit de ce qui précède que la recourante doit être considérée comme apte à exercer à 50% toute activité, y compris son activité habituelle, après une période de réentraînement à l’effort de quelques semaines. Compte tenu d’un taux d’activité réduit à 50% au lieu des 80.6% exercés auparavant, la perte économique dans la sphère professionnelle s’établit donc à 38%, ce qui correspond à un degré d’invalidité de 30.6%, arrondi à 31%.</w:t>
      </w:r>
    </w:p>
    <w:p>
      <w:r>
        <w:t>A/3960/2015 - 20/21 - La recourante ne conteste pas l’empêchement retenu dans la sphère ménagère. La Cour de céans constate qu’il n’y a donc pas lieu de s’écarter du degré d’invalidité de 13% retenu, lequel conduit à un degré d’invalidité de 2.5% (15% de 19,4%), arrondi à 3. L’addition de ces deux taux conduit à un degré global d’invalidité de 34%, insuffisant pour ouvrir droit à une rente de l’assurance-invalidité. On ajoutera qu’il n’y a lieu ni de tenir compte d’une baisse de rendement supplémentaire, alléguée par la recourante mais étayée par aucun des médecins qui se sont exprimés, ni de procéder à une réduction supplémentaire telle que préconisée par la jurisprudence puisque la recourante travaillait déjà à temps partiel précédemment et que l’on considère que son ancienne activité reste exigible. Eu égard aux considérations qui précèdent, le recours est rejeté.</w:t>
      </w:r>
    </w:p>
    <w:p>
      <w:r>
        <w:t>A/3960/2015 - 21/21 -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