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ATAS/964/2013 vom 1. Oktober 2013</w:t>
      </w:r>
    </w:p>
    <w:p>
      <w:r>
        <w:t>GE Cour de justice, 2013-10-01, FR</w:t>
      </w:r>
    </w:p>
    <w:p>
      <w:r>
        <w:rPr>
          <w:b/>
        </w:rPr>
        <w:t xml:space="preserve">Quelle: </w:t>
      </w:r>
      <w:r>
        <w:t>https://mcp.opencaselaw.ch/entscheid/ge_gerichte_ATAS_964_2013</w:t>
      </w:r>
    </w:p>
    <w:p>
      <w:r>
        <w:t>FR: GE_GERICHTE ATAS/964/2013 du 1 octobre 2013</w:t>
      </w:r>
    </w:p>
    <w:p>
      <w:r>
        <w:t>IT: GE_GERICHTE ATAS/964/2013 del 1 ottobre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t>A/1587/2013 - 7/17 -</w:t>
      </w:r>
    </w:p>
    <w:p>
      <w:r>
        <w:rPr>
          <w:b/>
        </w:rPr>
        <w:t>E. 2</w:t>
      </w:r>
    </w:p>
    <w:p>
      <w:r>
        <w:t>a) Les dispositions de la LPGA, en vigueur depuis le 1er janvier 2003, s’appliquent aux prestations complémentaires fédérales à moins qu’il n’y soit expressément dérogé (art. 1 al. 1 LPC). Il en va de même en matière de prestations complémentaires cantonales (art. 1A let. b LPCC). Les faits déterminants sont cependant en partie survenus avant l’entrée en vigueur de la LPGA, le 1er janvier 2003. Ainsi, sur le plan matériel, les règles applicables sont celles en vigueur au moment où les faits juridiquement déterminants se sont produits (ATF 127 V 467 consid. 1, 126 V 136 consid. 4b et les références). En revanche, en ce qui concerne la procédure, et à défaut de règles transitoires contraires, la LPGA s'applique sans réserve dès le jour de son entrée en vigueur (ATF 117 V 93 consid. 6b, 112 V 360 consid. 4a; RAMA 1998 KV 37 p. 316 consid. 3b). b) Les dispositions de la novelle du 6 octobre 2006 modifiant la LPC et de celle du 13 décembre 2007 modifiant la LPCC, entrées en vigueur le 1er janvier 2008 (RO 2007 6068), sont régies par le même principe. Les faits déterminants s’étant déroulés tant avant qu’après l’entrée en vigueur de ces modifications, l’ancien droit (cité ci-après : aLPC et aLPCC) est applicable pour la période courant jusqu’au 31 décembre 2007 et le nouveau droit pour celle depuis le 1er janvier 2008.</w:t>
      </w:r>
    </w:p>
    <w:p>
      <w:r>
        <w:rPr>
          <w:b/>
        </w:rPr>
        <w:t>E. 3</w:t>
      </w:r>
    </w:p>
    <w:p>
      <w:r>
        <w:t>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w:t>
      </w:r>
    </w:p>
    <w:p>
      <w:r>
        <w:rPr>
          <w:b/>
        </w:rPr>
        <w:t>E. 4</w:t>
      </w:r>
    </w:p>
    <w:p>
      <w:r>
        <w:t>L'objet du litige porte sur la question de savoir si l'intimé peut réclamer à la recourante la restitution des prestations indûment touchées du 1er février 2003 au 31 janvier 2013, en application de la prescription pénale de 10 ans, ainsi que sur la valeur vénale des terrains sis en Valais.</w:t>
      </w:r>
    </w:p>
    <w:p>
      <w:r>
        <w:rPr>
          <w:b/>
        </w:rPr>
        <w:t>E. 5</w:t>
      </w:r>
    </w:p>
    <w:p>
      <w:r>
        <w:t>a) A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t>A/1587/2013 - 8/17 - Avant l'entrée en vigueur de la LPGA (le 1er janvier 2003), l'art. 27 al. 1 OPC- AVS/AI (teneur en vigueur jusqu'au 31 décembre 2002) prévoyait déjà que les prestations complémentaires indûment touchées devaient être restituées par le bénéficiaire ou par ses héritiers. Les prescriptions de la LAVS étaient applicables par analogie à la restitution de telles prestations et à la libération de l'obligation de les restituer (cf. art. 47 al. 1 LAVS, abrogé avec l'entrée en vigueur de la LPGA). Une disposition identique figurait à l'art. 24 LPCC. 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c)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d) Selon l'art. 24 OPC-AVS/AI, l’ayant droit ou son représentant légal ou, le cas échéant, le tiers ou l’autorité à qui la prestation complémentaire est versée, doit</w:t>
      </w:r>
    </w:p>
    <w:p>
      <w:r>
        <w:t>A/1587/2013 - 9/17 -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31 al. 1 LPGA, l’ayant droit, ses proches ou les tiers auxquels une prestation est versée sont tenus de communiquer à l’assureur ou, selon le cas, à l’organe compétent toute modification importante des circonstances déterminantes pour l’octroi d’une prestation. Selon l'art. 11 al. 1 LPCC, le bénéficiaire ou son représentant légal doit déclarer au service tout fait nouveau de nature à entraîner la modification du montant des prestations qui lui sont allouées ou leur suppression.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6</w:t>
      </w:r>
    </w:p>
    <w:p>
      <w:r>
        <w:t>a)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sont applicables. Pour que le délai de prescription plus long prévu par le droit pénal s'applique, il n'est pas nécessaire que l'auteur de l'infraction ait été condamné (cf. ATF 118 V 193 consid. 4a; 113 V 256 consid. 4a; voir également ATF 122 III 225 consid. 4). Selon l'art. 97 al. 1 CP en vigueur depuis le 1er octobre 2002, l'action pénale se prescrit par 30 ans si l'infraction est passible d'une peine privative de liberté à vie, par 15 ans si elle est passible d'une peine privative de liberté de plus de trois ans, et de sept ans si elle est passible d'une autre peine. Avant le 1er octobre 2002, la prescription de l'action pénale était régie par l'art. 70 aCP (dans sa teneur en vigueur jusqu'au 30 septembre 2002). Cette disposition prévoyait un délai de prescription de 20 ans si l'infraction était passible de la réclusion à vie, de dix ans si elle était passible de l'emprisonnement pour plus de trois ans ou de la réclusion, et de cinq ans si elle était passible d'une autre peine.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w:t>
      </w:r>
    </w:p>
    <w:p>
      <w:r>
        <w:t>A/1587/2013 - 10/17 - les anciens délais sont applicables (cf.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(cf. ATF 132 III 661 consid. 4.3 ; 126 II 145 consid. 4 b/aa). b) L'art. 146 al. 1 CP (escroquerie) prévoit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L'art. 31 al. 1 let. a et d LPC, également applicable en matière de prestations complémentaires cantonales (art. 1A LPCC), prévoit qu'est puni, à moins qu’il ne s’agisse d’un crime ou d’un délit frappé d’une peine plus élevée par le code pénal, d'une peine pécuniaire n'excédant pas 180 jours-amendes celui qui, par des indications fausses ou incomplètes, ou de toute autre manière, obtient d’un canton ou d’une institution d’utilité publique, pour lui-même ou pour autrui, l’octroi indu d’une prestation au sens de la présente loi (let. a); et celui qui manque à son obligation de communiquer au sens de l'art. 31 LPGA (let. d). Cet alinéa est entré en vigueur le 1er janvier 2008. L'art. 16 al. 1 première phrase aLPC, dans sa teneur en vigueur jusqu'au 31 décembre 2007, prévoyait que celui qui, part des indications fausses ou incomplètes, ou de toute autre manière, aura obtenu d'un canton ou d'une institution d'utilité publique, pour lui-même ou pour autrui, l'octroi indu d'une prestation au sens de la présente loi, sera puni, à moins qu'il ne s'agisse d'un crime ou délit frappé d'une peine plus élevée par le code pénal suisse, de l'emprisonnement pour six mois au plus ou d'une amende de 20'000 fr. au plus. Les peines peuvent être cumulées. c) Ainsi, le délai de prescription de l'action pénale pour une infraction telle que décrite à l'art. 146 al. 1 CP était de dix ans jusqu'au 30 septembre 2002, et de quinze ans dès le 1er octobre 2002. S'agissant de l'infraction à l'art. 16a LPC, en vigueur jusqu'au 31 décembre 2007, la prescription de cette infraction était de sept ans (ATF 138 V 74), étant constaté que pour les faits survenus antérieurement au 1er octobre 2002, la lex mitior a pour conséquence l'application d'une prescription de cinq ans.</w:t>
      </w:r>
    </w:p>
    <w:p>
      <w:r>
        <w:t>A/1587/2013 - 11/17 - S'agissant enfin de l'infraction à l'art. 31 LPC, en vigueur dès le 1er janvier 2008, le délai de prescription est de sept ans.</w:t>
      </w:r>
    </w:p>
    <w:p>
      <w:r>
        <w:rPr>
          <w:b/>
        </w:rPr>
        <w:t>E. 7</w:t>
      </w:r>
    </w:p>
    <w:p>
      <w:r>
        <w:t>a) L'escroquerie au sens de l'art. 146 CP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 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6B 22/2011 du 23 mai 2011; 6B 576/2010 du 25 janvier 2011 consid. 4.1.2; 6B 689/2010 et 6B 690/2010 du 25 octobre 2010 consid. 4.3.4). Tel est en particulier le cas pour un bénéficiaire qui hérite d'une importante fortune dès lors qu'aucun indice ne permettait au SPC de conclure à une dissimulation éventuelle de faits essentiels (ATF du 3 février 2012 9C 622/2011 et arrêt de la Cour de céans du 19 juillet 2012 - ATAS 914/2012).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121 IV 353 consid. 2b; 120 IV 98 consid. 2c; 117 IV 130 consid. 2a; 113 IV 68 consid. 5a; 106 IV 276). Ainsi, d'un côté, celui qui déclare faussement, par des affirmations</w:t>
      </w:r>
    </w:p>
    <w:p>
      <w:r>
        <w:t>A/1587/2013 - 12/17 -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(ATF du 28 septembre 2000 6S 288/2000).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Toutefois, dans un tel cas, il pourrait s'agir d'une tromperie par omission (ATF non publié 6S.288/2000 du 28 septembre 2000 consid. 4b/bb). En revanche, si l’intimé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Cela étant, un assuré ne peut commettre de tromperie par omission que s'il se trouve dans une position de garant vis-à-vis de l’autorité. En l'absence de contrat ou de rapport de confiance spécial, seule la loi peut le placer dans une telle situation (ATF non publié 6S.288/2000 du 28 septembre 2000 consid. 4b/bb). Dans l’arrêt non publié 6S.288/2000 du 28 septembre 2000 (consid. 4b/bb) précité, après avoir examiné les dispositions légales applicables (art. 5 al. 2 LPC dans sa teneur jusqu’au 31 décembre 1997, art. 20 OPC-AVS/AI, dans sa version en vigueur du 1er janvier 1990 au 1er janvier 1998 et art. 24 OPC-AVS/AI, toujours en vigueur), le Tribunal fédéral a considéré que l'assuré ne se trouvait pas dans une position de garant envers l'autorité, dans la mesure où il n'avait aucune responsabilité particulière envers celle-ci. Dans l’ATF 131 IV 83 - postérieur à l’abrogation des art. 5 al. 2 LPC et 20 OPC-AVS/AI - le Tribunal fédéral a maintenu sa position et rappelé que l’art. 24 OPC-AVS/AI ne créait aucune position de garant. De l’avis de la Cour de céans, il en va de même des art. 20 OPC- AVS/AI, 29 et 31 al. 1 LPGA qui ne placent toujours pas un assuré dans une position de garant vis-à-vis du SPC, de sorte que la jurisprudence énoncée dans l’arrêt non publié 6S.288/2000 précité reste pleinement applicable. b) Réalise une tromperie par action l'assuré qui, invité par le SPC à produire un livret d'épargne, s'exécute mais n'indique pas à ce moment-là l'existence d'autres</w:t>
      </w:r>
    </w:p>
    <w:p>
      <w:r>
        <w:t>A/1587/2013 - 13/17 - biens issus d'un gain de loterie dès lors qu'il ne pouvait ignorer que la demande de renseignements du SPC, même limitée à la production d'une pièce, visait en réalité à examiner son indigence et l'autorité ne pouvait que difficilement déceler la fortune de l'intéressée (ATF 127 IV 163). Il en est de même de l'assuré qui indique dans trois demandes d'indemnités de chômage une adresse erronée (arrêt du 31 août 2012 8C 791/2011). La Cour de céans, dans un arrêt du 14 septembre 2011 confirmé par le Tribunal fédéral le 31 août 2012 (8C 791/2001), a admis la commission d'une escroquerie dans le cas d'un assuré bénéficiaire d'indemnités de chômage indûment perçues qui a astucieusement induit la caisse de chômage en erreur sur deux éléments essentiels au droit à l'indemnité. Dans un arrêt du 11 mars 2013, la Cour a retenu que la seule passivité d'une recourante, qui a omis d'annoncer à l'intimé le versement de sa rente italienne, ne saurait - même si les communications transmises annuellement invitaient les assurés à transmettre tout changement dans leur situation économique - à elle seule, constituer une tromperie astucieuse, vu l'absence de position de garant de la recourante vis-à-vis du SPC (ATAS/248/2013). Cet arrêt a fait l'objet d'un recours devant le Tribunal fédéral. En revanche, ne commet pas une escroquerie celui qui fournit des documents du centre social révélant des incohérences sur des éléments importants pour décider de l'octroi d'une prestation financière, de sorte que l'autorité se devait de procéder à des vérifications (SJ 2011 p. 288), ou encore celui qui n'informe pas, par omission, le SPC de l'existence de revenus et biens (ATAS/1078/2012 du 30 août 2012).</w:t>
      </w:r>
    </w:p>
    <w:p>
      <w:r>
        <w:rPr>
          <w:b/>
        </w:rPr>
        <w:t>E. 8</w:t>
      </w:r>
    </w:p>
    <w:p>
      <w:r>
        <w:t>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t>A/1587/2013 - 14/17 -</w:t>
      </w:r>
    </w:p>
    <w:p>
      <w:r>
        <w:rPr>
          <w:b/>
        </w:rPr>
        <w:t>E. 9</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la décision de restitution porte sur une période de dix ans, en application de la prescription pour une infraction d'escroquerie, tandis que la recourante conteste la réalisation des conditions constitutives de cette infraction et réclame l'application d'un délai de 5 ans. Il est établi que l'assurée était propriétaire de trois parcelles sises sur la commune d'Arbaz depuis 1980 déjà, soit avant le dépôt de la demande de prestations complémentaires en mars 1999. Or, à cette occasion, l'assurée a été invitée à déclarer l'ensemble de sa fortune mobilière et immobilière et elle a alors caché l'existence de ces parcelles. Elle avait alors 70 ans seulement et elle a expressément répondu par la négative à la question de savoir si elle était propriétaire d'un bien immobilier. Au surplus, dans la mesure où cette fortune immobilière n'était pas non plus déclarée à l'administration fiscale jusqu'en 2006, le SPC ne pouvait pas vérifier, même avec l'attention que l'on peut exiger de lui, si l'assurée détenait des biens immobiliers. Il n'est pas établi que l'assurée ne connaissait pas la réelle valeur des biens, notamment de la parcelle constructible. Au demeurant, même si l'assurée a sous-évalué la valeur des parcelles, il n'est pas contestable qu'elle avait conscience et volonté de dissimuler l'existence de ces biens et qu'elle a ainsi obtenu indûment des prestations, de sorte que les conditions de l'escroquerie sont réalisées. Au demeurant, bien qu'en 1999, une parcelle constructible valait déjà bien plus de 2 fr. le m2, et il s'avère que la fortune totale évaluée au plus bas, soit à la valeur immobilière fiscale dépassait déjà la franchise de 25'000 fr. (20'559 fr. sur le compte UBS et 12'866 fr. pour les trois parcelles). Ainsi, en dissimulant la propriété de ses parcelles, dans les conditions qui précèdent, l'assurée a commis une escroquerie au sens de l'art. 146 CP. A ce propos, l'argument du SPA selon lequel le grand-âge de l'assurée et sa mise sous curatelle en 2008 excluraient sa conscience de cacher l'existence de ses parcelles tombe à faux. En effet, l'assurée a vendu en 2005 l'une de ses parcelles, ce qui implique nécessairement une pleine capacité de discernement, compte tenu de la nécessité de conclure un acte notarié. C'est donc à bon droit que le SPC a fait porter la décision de restitution sur une période de 10 ans, retenant la commission d'une escroquerie. A l'occasion de la vente de cette parcelle, et malgré la "communication importante" reçue début 2005, l'assurée n'a déclaré ni le produit de la vente ni la propriété des deux autres parcelles. C'est ainsi en juin 2009 pour la première fois que le SPC a</w:t>
      </w:r>
    </w:p>
    <w:p>
      <w:r>
        <w:t>A/1587/2013 - 15/17 - appris leur existence. Il a alors, dans le délai d'un an de l'art. 25 LPGA, révisé le 4 mars 2010 le droit aux prestations en tenant compte de la valeur déclarée de ces biens, soit 9'329 fr. Après avoir régulièrement relancé le SPA pour connaître l'issue de l'évaluation en cours, le SPC a appris le 28 février 2012 que le relevé fait par le SPA de la fortune de sa pupille au 31 décembre 2011 s'élevait à 174'025 fr. 20, dont 164'060 fr. de terrains. Or, la décision querellée du 31 janvier 2013 a été rendue dans le délai d'un an dès la connaissance de l'ensemble des faits pertinents, l'estimation fait par la commune le 18 mars 2011 ayant été transmise au SPC le 26 novembre 2012 seulement. S'agissant du délai de péremption d'un an et du délai de prescription de 10 ans, la décision est bien fondée.</w:t>
      </w:r>
    </w:p>
    <w:p>
      <w:r>
        <w:rPr>
          <w:b/>
        </w:rPr>
        <w:t>E. 11</w:t>
      </w:r>
    </w:p>
    <w:p>
      <w:r>
        <w:t>S'agissant de la valeur des biens, la valeur fiscale n'est pas relevante selon l'art. 17 OPC/AVS-AI et ne correspond pas à la valeur vénale, seule déterminante. En se basant sur l'attestation d'une agence immobilière, le SPA conteste la valeur des biens immobiliers retenue par le SPC, qui s'est fondé sur l'estimation de la commission de taxation de la commune d'Arbaz du 18 mars 2011. Or, la valeur probante de cette estimation, au surplus faite par une autorité, n'est pas valablement remise en cause par les arguments mentionnés par l'agence immobilière, sous réserve de la question du déclassement "de fait" de la zone constructible. De plus, l'évaluation à 3 fr./m2 en 2011 est compatible avec le prix de vente (à un proche semble-t-il) d'une parcelle "pré-champs" à 2 fr./m2 en 2005 et elle est bien inférieure à la valeur de "taxe cadastrale" de 8 fr./m2 pour cette parcelle-là. Par ailleurs, si la valeur de la forêt n'a pas changé (0,50 fr./m2, soit 2'702 fr. au total) en 2003 ou en 2009 selon le cadastre et en 2011 selon la commission, celle des prés- champs semble avoir baissé (4 fr./m2 selon l'évaluation faite pour la taxe cadastrale). Ainsi, s'agissant de la parcelle ___________, la valeur prise en compte n'est pas contestable. Pour ce qui est de la parcelle constructible __________, l'argument du SPA n'est pas dénué de tout fondement. Si en raison de l'entrée en vigueur de la Lex Weber, il n'est absolument plus possible d'obtenir une autorisation de construire sur cette parcelle – même pour y construire un logement pour un habitant de la commune, ce qui n'est pas un lit froid - , alors sa valeur est en effet réduite à celle d'un pré- champs. Cela étant, jusqu'à fin 2011 en tout cas, soit un an avant la votation, rien n'empêchait la vente d'une parcelle constructible située entre Arbaz et Anzère, dans une zone touristique, orientée au Sud, avec de la vue et à proximité des arrivées d'eau et de l'électricité, car l'acquéreur disposait encore du temps nécessaire pour obtenir une autorisation de construire. A ce propos, le SPA se contente d'alléguer, sans le prouver, qu'il a mis en vente cette parcelle courant 2011 déjà. Ainsi, c'est à juste titre que le SPC a retenu une valeur vénale de 159'180 fr. pour cette parcelle sur la base de l'estimation officielle de la commune.</w:t>
      </w:r>
    </w:p>
    <w:p>
      <w:r>
        <w:t>A/1587/2013 - 16/17 - Par contre, la décision doit être annulée sur plusieurs points. D'abord, si l'assurée n'a en effet pas annoncé la variation de sa fortune mobilière, le SPC est tenu de prendre en compte toutes les modifications intervenues du 1er février 2003 au 31 janvier 2013, y compris le solde au 31 décembre de chaque année du ou des comptes de l'assurée. Ensuite, si l'hypothèse susmentionnée concernant la Lex Weber se confirme, la valeur de la parcelle constructible devra être réduite à due concurrence sur la base d'une estimation officielle de la commune et à partir d'une date à déterminer en fonction des circonstances concrètes. Il faudra ainsi déterminer jusqu'à quand des parcelles constructibles ont été vendues à leur valeur vénale. Au surplus, le revenu de la fortune immobilière ne peut pas, s'agissant de prés et de forêts, être fixé arbitrairement à 4,5% de la valeur vénale, mais doit tenir compte des conditions réelles de locations de ce type de terrain, pour autant qu'ils soient loués et non pas remis en échange d'un "fauchage" gratuit. Finalement, dans la mesure où la cause est renvoyée pour instruction complémentaire, la question de la différence pour la parcelle 1067 entre la valeur de 46'617 fr. ressortant de relevé cadastral et de 159'180 fr. selon l'estimation officielle devra être éclaircie, afin de vérifier si cela correspond à une variation de la valeur vénale au cours du temps et fixer celle-ci en conséquence. Si cela n'aboutit pas à une "reformatio in peius", le SPC pourra aussi tenir compte, de 2003 à 2005, de la valeur du "pré-champs" vendu à Monsieur C_________.</w:t>
      </w:r>
    </w:p>
    <w:p>
      <w:r>
        <w:rPr>
          <w:b/>
        </w:rPr>
        <w:t>E. 12</w:t>
      </w:r>
    </w:p>
    <w:p>
      <w:r>
        <w:t>En conséquence, le recours est partiellement admis, la décision du 16 avril 2013 est partiellement annulée en ce qui concerne le montant de la fortune et du revenu de la fortune et confirmée pour le surplus, en particulier s'agissant de la période de la restitution. La cause est renvoyée au SPC pour nouveaux calculs et nouvelle décision dans le sens des considérants.</w:t>
      </w:r>
    </w:p>
    <w:p>
      <w:r>
        <w:t>A/1587/2013 - 17/17 - PAR CES MOTIFS, LA CHAMBRE DES ASSURANCES SOCIALES : Statuant A la forme : 1. Déclare le recours recevable. Au fond : 2. L’admet partiellement, annule la décision sur opposition du 16 avril 2013 en ce qui concerne le montant de la fortune mobilière et immobilière et le revenu de la fortune, la confirme pour le surplus, en particulier s’agissant de la période de restitution du 1er février 2003 au 31 janvier 2013. 3. Renvoie la cause à l’intimé pour nouveau calcul et nouvelle décision dans le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