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ATAS/964/2012 vom 16. August 2012</w:t>
      </w:r>
    </w:p>
    <w:p>
      <w:r>
        <w:t>GE Cour de justice, 2012-08-16, FR</w:t>
      </w:r>
    </w:p>
    <w:p>
      <w:r>
        <w:rPr>
          <w:b/>
        </w:rPr>
        <w:t xml:space="preserve">Quelle: </w:t>
      </w:r>
      <w:r>
        <w:t>https://mcp.opencaselaw.ch/entscheid/ge_gerichte_ATAS_964_2012</w:t>
      </w:r>
    </w:p>
    <w:p>
      <w:r>
        <w:t>FR: GE_GERICHTE ATAS/964/2012 du 16 août 2012</w:t>
      </w:r>
    </w:p>
    <w:p>
      <w:r>
        <w:t>IT: GE_GERICHTE ATAS/964/2012 del 16 agosto 2012</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w:t>
      </w:r>
    </w:p>
    <w:p>
      <w:r>
        <w:t>A/2177/2011 - 9/17 - nouveau droit s'applique sans réserve dès le jour de son entrée en vigueur (ATF 117 V 93 consid. 6b, ATF 112 V 360 consid. 4a; RAMA 1998 KV 37 p. 316 consid. 3b).</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et à des mesures d’ordre professionnel, plus particulièrement sur la question de savoir si son état de santé s’est aggravé au point d’influencer son droit aux prestations.</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w:t>
      </w:r>
    </w:p>
    <w:p>
      <w:r>
        <w:t>A/2177/2011 - 10/17 -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6</w:t>
      </w:r>
    </w:p>
    <w:p>
      <w:r>
        <w:t>Se pose en premier lieu la question de savoir si l'assuré est invalide ou menacé d'une invalidité permanente (art. 28 al. 1er LAI). La condition de l'invalidité exprimée par l'art. 8 al. 1 LAI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On rappellera qu'il n'existe pas un droit inconditionnel à obtenir une mesure professionnelle (voir par ex. l'arrêt non publié 9C_385/2009 du 13 octobre 2009). Il faut également relever que si une perte de gain de 20% environ ouvre en principe droit à une mesure de reclassement dans une nouvelle profession (ATF 124 V 108 consid. 2b p110 et les arrêts cités), la question reste ouverte s'agissant des autres mesures d'ordre professionnel prévues par la loi (cf. arrêt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A/2177/2011 - 11/17 -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a) Pour pouvoir calculer le degré d’invalidité, l’administration (ou le juge, s’il y a eu un recours) a besoin de documents qu’un médecin, et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A/2177/2011 - 12/17 -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w:t>
      </w:r>
    </w:p>
    <w:p>
      <w:r>
        <w:rPr>
          <w:b/>
        </w:rPr>
        <w:t>E. 9</w:t>
      </w:r>
    </w:p>
    <w:p>
      <w:r>
        <w:t>En l’espèce, il convient de déterminer si l’état de l’assuré s’est aggravé depuis qu’a été rendue la décision initiale - en janvier 2007 -, au point de lui ouvrir désormais droit aux prestations de l’assurance invalidité. Dans son arrêt du 10 décembre 2009, le Tribunal a d’ores et déjà constaté qu’aucune aggravation n’avait été démontrée sur le plan physique et l’assuré, dans son recours du 15 juillet 2011, ne le conteste d’ailleurs pas. Seule se pose donc la question de savoir si son état de santé</w:t>
      </w:r>
    </w:p>
    <w:p>
      <w:r>
        <w:t>A/2177/2011 - 13/17 - psychique s’est détérioré au point d’admettre l’existence d’une atteinte à la santé invalidante. Il convient d’abord d’examiner quelle valeur probante il y a lieu d’accorder aux divers rapports médicaux versés au dossier. L’expertise du Dr F__________ du 8 décembre 2010 repose sur une étude complète et circonstanciée de la situation médicale. Elle a été établie en pleine connaissance du dossier médical, des plaintes exprimées par l’assurée et de l’anamnèse. Les considérations médicales sont clairement exprimées et les conclusions du rapport dûment motivées et explicites : pour le Dr F__________, le recourant présente certes des atteintes psychiques, mais insuffisantes pour entraîner une incapacité de travail. Le grief du recourant qui reproche à l’expert d’avoir conclu à l’inutilité de mesures de réadaptation professionnelle alors qu’il a toujours fait montre de sa volonté de réintégrer le monde professionnel ne saurait suffire à mettre en doute les conclusions du Dr F__________. Force est en effet de constater que l’assuré n’a pas mis à profit les stages d’observation professionnelle effectués par le passé pour chercher un emploi et qu’il n’est dès lors pas injustifié de considérer que des mesures de réadaptation seraient inutiles. Quant au fait que l’expert lie l’épisode dépressif au sevrage à l’alcool tout en attribuant l’augmentation de la consommation de l’assuré à ses troubles dépressifs et aux sentiments de dévalorisation et de découragement les accompagnant, il n’est pas non plus déterminant dans la mesure où ces remarques n’ont finalement aucune incidence sur l’appréciation de l’évaluation de la capacité de travail de l’assuré dont il est admis qu’il est désormais abstinent et depuis de nombreux mois. L’argument du recourant qui allègue que la chronologie des événements démontre que c’est son inactivité qui provoque et entretient une atteinte psychique incapacitante ne suffit pas non plus à faire douter des conclusions de l’expert, dont on relèvera qu’il a au demeurant admis que l’inactivité de l’assuré avait eu pour conséquences un trouble anxieux et dépressif mixte léger et d’autres troubles spécifiques de la personnalité, dont il a cependant estimé qu’ils ne revêtaient pas une gravité suffisante pour justifier une incapacité de travail. Quant aux avis de Madame N_________, du Dr I_________ et de la Dresse J_________, invoqués par le recourant à l’appui de ses griefs à l’encontre des conclusions du Dr F__________, force est de constater qu’ils ne sont pas non plus de nature à faire douter des conclusions de l’expert. En effet, Madame N_________ et le Dr I_________ n’ont commencé à suivre le recourant qu’en juin 2011, soit au moment même où la décision litigieuse a été rendue et ils ne se prononcent pas sur l’état du recourant antérieurement à leur prise en charge. Quant à l’opinion de la Dresse J_________, généraliste, elle ne saurait l’emporter sur celle de l’expert</w:t>
      </w:r>
    </w:p>
    <w:p>
      <w:r>
        <w:t>A/2177/2011 - 14/17 - spécialiste. Enfin, on relèvera qu’aucun de ces médecins ne s’est prononcé sur l’appréciation du Dr F__________. En l’absence d’éléments suffisants pour jeter le doute sur les conclusions du Dr F__________, il y a lieu de se conformer à l’avis de l’expert ce d’autant que, lors de l’expertise, l’assuré a admis n’avoir consulté précédemment un spécialiste qu’à quelques occasions, ce qui tend à démontrer que son état n’était à l’évidence pas aussi grave qu’il le soutient dans son recours. Eu égard à ce qui précède, la Cour constate l’absence d’aggravation - tant physique que psychique - entre janvier 2007 et juin 2011. Il en découle que le degré d’invalidité est demeuré inchangé - 37,3% - et insuffisant pour ouvrir droit à une rente. Sur ce point, le recours est donc rejeté.</w:t>
      </w:r>
    </w:p>
    <w:p>
      <w:r>
        <w:rPr>
          <w:b/>
        </w:rPr>
        <w:t>E. 10</w:t>
      </w:r>
    </w:p>
    <w:p>
      <w:r>
        <w:t>Dès lors qu’il a été admis que le recourant est apte à exercer une activité adaptée, il y a lieu de déterminer si et, dans l’affirmative, quelle(s) mesure(s) d’ordre professionnel entre(nt) en ligne de compte. a/aa)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environ ouvre en principe droit à une mesure de reclassement dans une nouvelle profession (ATF 124 V 108 consid. 2b p110 et les arrêts cités). a/bb) L'art. 15 LAI prévoit que l'assuré dont l’invalidité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non publié 9C_882/2008 du 29 octobre 2009, consid. 5.1 et les références).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w:t>
      </w:r>
    </w:p>
    <w:p>
      <w:r>
        <w:t>A/2177/2011 - 15/17 - l'exercice de l'activité déployée jusqu'à présent (ATF 114 V 29 consid. 1a p. 29; voir également arrêt I 154/76 du 22 novembre 1976 consid. 2, in RCC 1977 p. 203). a/cc) a)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Arrêt non publiés I 170/06 et 9C_879/2008 des 26 février 2007 et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Les arrêts précités ont certes été rendus sous l'empire de l'ancien droit, dans lequel l'art. 18 LAI avait une teneur différente mais ils demeurent valables après l'entrée en vigueur de la 5ème révision de l'AI (ATF du 1er mars 2010, 9C_416/2009, consid. 5.2).</w:t>
      </w:r>
    </w:p>
    <w:p>
      <w:r>
        <w:t>A/2177/2011 - 16/17 - b) En l’espèce, bien que le degré d’invalidité du recourant soit supérieur à 20%, il n’y a pas lieu de lui octroyer une mesure de reclassement, attendu qu’un marché du travail équilibré lui offre un éventail de postes suffisamment large et diversifié adapté à ses limitations et pour lesquels une mise au courant suffit. D’autant que le recourant a déjà bénéficié d'une aide sous forme d'orientation professionnelle au sens de l'art. 15 LAI, ce qui a permis de constater qu'il pouvait exercer une activité adaptée, c’est-à-dire manuelle, légère et excluant les travaux fins, avec un rendement à plein temps proche de la normale. Quant à l’éventualité d’une aide au placement, force est de constater que les éventuelles difficultés du recourant pour trouver un emploi ne résultent pas tant de ses atteintes à la santé - qui se traduisent simplement par de légères limitations au niveau des épaules - que de ses difficultés linguistiques et de son manque de formation, dont l’assurance invalidité n’a pas à répondre, comme cela a déjà été relevé par le TCAS dans son arrêt du 22 novembre 2007 (ATAS/1296/2007).</w:t>
      </w:r>
    </w:p>
    <w:p>
      <w:r>
        <w:rPr>
          <w:b/>
        </w:rPr>
        <w:t>E. 11</w:t>
      </w:r>
    </w:p>
    <w:p>
      <w:r>
        <w:t>Au vu de ce qui précède, le recours sera rejeté. Étant donné que depuis le 1er juillet 2006, la procédure n'est plus gratuite (art. 69 al. 1bis LAI), il y a lieu de condamner le recourant au paiement d'un émolument de 200 fr.</w:t>
      </w:r>
    </w:p>
    <w:p>
      <w:r>
        <w:t>A/2177/2011 - 17/17 -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