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ATAS/963/2014 vom 14. August 2014</w:t>
      </w:r>
    </w:p>
    <w:p>
      <w:r>
        <w:t>GE Cour de justice, 2014-08-14, FR</w:t>
      </w:r>
    </w:p>
    <w:p>
      <w:r>
        <w:rPr>
          <w:b/>
        </w:rPr>
        <w:t xml:space="preserve">Quelle: </w:t>
      </w:r>
      <w:r>
        <w:t>https://mcp.opencaselaw.ch/entscheid/ge_gerichte_ATAS_963_2014</w:t>
      </w:r>
    </w:p>
    <w:p>
      <w:r>
        <w:t>FR: GE_GERICHTE ATAS/963/2014 du 14 août 2014</w:t>
      </w:r>
    </w:p>
    <w:p>
      <w:r>
        <w:t>IT: GE_GERICHTE ATAS/963/2014 del 14 agosto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forme et délai légaux (art. 56 à 60 LPGA), le recours est recevable.</w:t>
      </w:r>
    </w:p>
    <w:p>
      <w:r>
        <w:rPr>
          <w:b/>
        </w:rPr>
        <w:t>E. 3</w:t>
      </w:r>
    </w:p>
    <w:p>
      <w:r>
        <w:t>Seul est contesté à ce stade de la procédure, le montant retenu à titre de revenu sans invalidité par l’intimé pour procéder à la comparaison des gains et déterminer le degré d’invalidité de la recourante.</w:t>
      </w:r>
    </w:p>
    <w:p>
      <w:r>
        <w:rPr>
          <w:b/>
        </w:rPr>
        <w:t>E. 4</w:t>
      </w:r>
    </w:p>
    <w:p>
      <w:r>
        <w:t>Selon l’art. 28 al. 2 LAI, un quart de rente est octroyé en cas d’invalidité de 40% au moins, une demi-rente en cas d’invalidité de 50%, un trois quarts de rente en cas d’invalidité de 60% et une rente entière en cas d’invalidité de 70% au moins. Chez les assurés actifs, le degré d'invalidité doit être évalué sur la base d'une comparaison des revenus ; pour cela, le revenu que l'assuré aurait pu obtenir s'il</w:t>
      </w:r>
    </w:p>
    <w:p>
      <w:r>
        <w:t>A/3658/2013 - 6/8 -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Certaines circonstances peuvent toutefois justifier qu’on s’en écarte. Notre Haute Cour a ainsi jugé que lorsque l’assuré a subi une période de chômage relativement longue (2 ans) avant de connaître une incapacité de travail totale, on doit admettre que le revenu qu’il a obtenu durant cette période ne représente pas la mesure de ce qu’il est véritablement apte à gagner en tant que personne valide.</w:t>
      </w:r>
    </w:p>
    <w:p>
      <w:r>
        <w:rPr>
          <w:b/>
        </w:rPr>
        <w:t>E. 5</w:t>
      </w:r>
    </w:p>
    <w:p>
      <w:r>
        <w:t>En l’espèce, dans la mesure où il ressort du rassemblement des comptes individuels AVS de la recourante qu’elle n’a réalisé, immédiatement avant la survenance de l’invalidité, qu’un revenu annuel de CHF 16'000.-. environ en 2006 (contre un revenu d’environ CHF 53'612.- en 2002) et que, dans l’intervalle, son revenu a beaucoup varié, c’est à juste titre que l’intimé s’est basé sur les statistiques pour déterminer le revenu avant invalidité, la situation précédant la survenance de</w:t>
      </w:r>
    </w:p>
    <w:p>
      <w:r>
        <w:t>A/3658/2013 - 7/8 - l’invalidité n’étant manifestement pas représentative de ce qu’aurait véritablement pu obtenir la recourante. En particulier, la solution préconisée par la recourante - se baser sur les revenus réalisés en 2002 et 2003 - soit 4 à 5 ans avant la survenance de l’invalidité - au prorata pour en déduire ce qu’aurait pu être son revenu à plein temps, ne saurait être retenue, étant rappelé que le revenu avant invalidité doit être évalué au plus proche de la réalité. Ainsi que le fait remarquer l’intimé, la question peut en effet sérieusement se poser de savoir si c’est à juste titre qu’un statut d’active à 100% a été reconnu à l’assurée puisque celle-ci a réduit son temps de travail des années avant la survenance de l’invalidité. Cette question peut cependant rester ouverte dans la mesure où, même si l’on se base sur l’hypothèse la plus favorable à l’assurée - en l’occurrence, celle adoptée par l’intimé dans la décision litigieuse - tout droit à une rente doit être nié, faute d’un degré d’invalidité suffisant. C’est en effet à juste titre que l’OAI s’est basé sur le TA7-33 de l’ESS 2008 pour déterminer le revenu avant invalidité. Ce tableau indique en effet le salaire mensuel brut selon le domaine d’activité et le niveau des qualifications requises pour le poste de travail et le sexe, dans les secteurs privé et public ; le secteur 33 correspond aux activités médicales, sociales et dans le domaine des soins. On ne saurait par ailleurs nier que la recourante dispose de connaissances spécialisées au vu de son expérience et des formations complémentaires qu’elle a suivies (niveau 3). C’est donc bien, selon ce tableau, un revenu de CHF 5'506.- par mois qu’elle aurait pu réaliser à plein temps sans atteinte à sa santé, en 2008. Annualisé selon un horaire de 41,6 h./sem. et comparé à celui de CHF 47'455.-, cela conduit à un degré d’invalidité de 31%, insuffisant pour ouvrir droit à une rente. Eu égard aux considérations qui précèdent, le recours doit être rejeté.</w:t>
      </w:r>
    </w:p>
    <w:p>
      <w:r>
        <w:t>A/3658/2013 - 8/8 -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