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ATAS/963/2010 vom 27. September 2010</w:t>
      </w:r>
    </w:p>
    <w:p>
      <w:r>
        <w:t>GE Cour de justice, 2010-09-27, FR</w:t>
      </w:r>
    </w:p>
    <w:p>
      <w:r>
        <w:rPr>
          <w:b/>
        </w:rPr>
        <w:t xml:space="preserve">Quelle: </w:t>
      </w:r>
      <w:r>
        <w:t>https://mcp.opencaselaw.ch/entscheid/ge_gerichte_ATAS_963_2010</w:t>
      </w:r>
    </w:p>
    <w:p>
      <w:r>
        <w:t>FR: GE_GERICHTE ATAS/963/2010 du 27 septembre 2010</w:t>
      </w:r>
    </w:p>
    <w:p>
      <w:r>
        <w:t>IT: GE_GERICHTE ATAS/963/2010 del 27 settembre 2010</w:t>
      </w:r>
    </w:p>
    <w:p>
      <w:pPr>
        <w:pStyle w:val="Heading2"/>
      </w:pPr>
      <w:r>
        <w:t>Erwägungen</w:t>
      </w:r>
    </w:p>
    <w:p>
      <w:r>
        <w:rPr>
          <w:b/>
        </w:rPr>
        <w:t>E. 1</w:t>
      </w:r>
    </w:p>
    <w:p>
      <w:r>
        <w:t>Etant donné que le Tribunal a déjà statué, dans son ordonnance du 11 août 2009, sur les questions de sa compétence, de la recevabilité du recours et du droit applicable, il n’y a pas lieu de revenir sur ces points.</w:t>
      </w:r>
    </w:p>
    <w:p>
      <w:r>
        <w:rPr>
          <w:b/>
        </w:rPr>
        <w:t>E. 2</w:t>
      </w:r>
    </w:p>
    <w:p>
      <w:r>
        <w:t>Le litige porte sur le caractère invalidant des troubles psychiques ainsi que de l’alcoolisme et, partant, sur le droit du recourant à une rente entière de l'assurance- invalidité.</w:t>
      </w:r>
    </w:p>
    <w:p>
      <w:r>
        <w:rPr>
          <w:b/>
        </w:rPr>
        <w:t>E. 3</w:t>
      </w:r>
    </w:p>
    <w:p>
      <w:r>
        <w:t>Est réputée invalidité, l'incapacité de gain totale ou partielle présumée permanente ou de longue durée, résultant d'une infirmité congénitale, d'une maladie ou d'un accident (art. 8 al. 1 LPGA et 4 al. 1 LAI).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A/2954/2008 - 8/13 - En vertu de l’art. 28 al. 1 LAI, l’assuré a droit à une rente entière s’il est invalide à 70% au moins, à un trois-quarts de rente s'il est invalide à 60% au moins, à une demi-rente s’il est invalide à 50% au moins, ou à un quart de rente s’il est invalide à 40% au moins.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cFaussi ATF 127 V 298 consid. 4c in fine).</w:t>
      </w:r>
    </w:p>
    <w:p>
      <w:r>
        <w:rPr>
          <w:b/>
        </w:rPr>
        <w:t>E. 4</w:t>
      </w:r>
    </w:p>
    <w:p>
      <w:r>
        <w:t>Selon la jurisprudence constante, la dépendance, qu'elle prenne la forme de l'alcoolisme, de la pharmacodépendance ou de la toxicomanie ne joue un rôle dans l'assurance-invalidité que lorsqu'elle a provoqué une maladie ou un accident qui entraîne une atteinte à la santé physique ou mentale, nuisant à la capacité de gain, ou que si elle résulte elle-même d'une atteinte à la santé physique ou mentale qui a valeur de maladie (ATF 124 V 268 consid. 3c; VSI 1996 p. 317ss). En tant qu'elle n'est ni la cause, ni la conséquence d'une atteinte à la santé physique ou psychique ayant valeur de maladie, la dépendance constitue une affection primaire non constitutive d'invalidité (ATF non publié 9C_219/07 du 3 avril 2008, consid. 3).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finalement admis, il y a alors lieu d'évaluer</w:t>
      </w:r>
    </w:p>
    <w:p>
      <w:r>
        <w:t>A/2954/2008 - 9/13 -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ATF non publié I 237/04 du 30 novembre 2004, consid. 4.2).</w:t>
      </w:r>
    </w:p>
    <w:p>
      <w:r>
        <w:rPr>
          <w:b/>
        </w:rPr>
        <w:t>E. 5</w:t>
      </w:r>
    </w:p>
    <w:p>
      <w:r>
        <w:t>Selon le principe de libre appréciation des preuves, pleinement valable en procédure judiciaire de recours dans le domaine des assurances sociales (cFart.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w:t>
      </w:r>
    </w:p>
    <w:p>
      <w:r>
        <w:t>A/2954/2008 - 10/13 -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6</w:t>
      </w:r>
    </w:p>
    <w:p>
      <w:r>
        <w:t>En l’espèce, les deux parties ne contestent pas les conclusions du rapport de l’expertise judiciaire du 22 juin 2010, ni le droit du recourant à une rente entière d’invalidité en raison de son incapacité de travail entière dès 2001. Il convient tout d’abord d’examiner la valeur probante des diverses expertises. Dans son rapport d’expertise du 3 janvier 2008, le Dr D___________ précise que la pathologie de l’époque est au premier plan et ne permet pas un diagnostic de personnalité suffisamment approfondi. En revanche, il pose des diagnostics provisoires de trouble de la personnalité non spécifié et de déficit cognitif persistant. Il considère qu’un sevrage et une abstinence sont exigibles ce qui l’amène à admettre une capacité de travail entière dans une activité adaptée avec un rendement maximum de 50 à 70%. Les conclusions de cette expertise divergent fondamentalement de celles des autres psychiatres amenés à se prononcer, qui retiennent tous une incapacité de travail d’au moins 80% dans toute activité. De plus, certains des diagnostics que le Dr D___________ a posés sont provisoires de sorte qu’il n’est pas possible de se baser sur son évaluation pour avoir une vision claire des atteintes psychiques du recourant, notamment pour savoir si la dépendance est primaire ou secondaire. En outre, son appréciation repose sur des examens incomplets en tant qu’elle n’englobe pas une appréciation neuropsychologique. Enfin, les divers essais de sevrage, qui se sont tous soldés par un échec, font fortement douter de la fiabilité des conclusions de l’expert quant à l’exigibilité d’une abstinence, partant de son appréciation de la capacité de travail du recourant. Par conséquent, il n’est pas possible de reconnaître une valeur probante audit rapport d’expertise. Dans leur rapport d’expertise du 22 juin 2010, les médecins du CEM expliquent que le recourant présente un abus de substances (alcool, cocaïne et opium) depuis l’âge de 16 ans ayant débuté dans le cadre d'une angoisse pesante sous forme d'automédication. À leur avis, l’éthylisme est secondaire et, au vu tant de l’inexistence quasi totale de ressources psychiques que des nombreux échecs de sevrage, il s'agit d'un état durable qui n'est plus réversible, ce d'autant plus que l'appréciation neuropsychologique montre des atteintes cognitives sur plusieurs plans. Ils concluent à une incapacité de travail totale dans toute activité induite par</w:t>
      </w:r>
    </w:p>
    <w:p>
      <w:r>
        <w:t>A/2954/2008 - 11/13 - les conséquences continues de l’abus de substances et par les déficits cognitifs. Ils motivent leur position par le fait que le recourant a eu des caractéristiques de troubles de la personnalité dès son adolescence et qu’il n'a jamais atteint une maturité. Bien au contraire, sous l'emprise d'un abus de substances débuté à un très jeune âge, ses troubles se sont durablement fixés au point qu'aujourd'hui, il s'agit d'une personnalité dévastée, sans réelles ressources psychiques quelconques. En définitive, leurs conclusions procèdent d'une analyse complète de l'ensemble des circonstances déterminantes ressortant de l'anamnèse, du dossier médical et des divers examens, notamment neuropsychologiques. Les réponses qu’ils apportent aux questions posées par le Tribunal de céans sont par ailleurs complètes et convaincantes. Leur rapport ne contient en outre pas de contradictions, ni de défauts manifestes. Par conséquent, il y a lieu de lui reconnaître une pleine valeur probante.</w:t>
      </w:r>
    </w:p>
    <w:p>
      <w:r>
        <w:rPr>
          <w:b/>
        </w:rPr>
        <w:t>E. 7</w:t>
      </w:r>
    </w:p>
    <w:p>
      <w:r>
        <w:t>Au vu des conclusions des experts, il convient de retenir que la dépendance à l’alcool résulte de troubles psychiques, lesquels ont incontestablement valeur de maladie, de sorte que la mise à profit de sa capacité de travail ne peut, pratiquement, plus être raisonnablement exigée de lui. Etant donné que, selon l’expertise judiciaire, le recourant présente une incapacité de travail de 100% dans toute activité, ce taux correspond à celui de l'invalidité, partant, il a droit à une rente entière d'invalidité (comparaison en pour-cent; ATF 114 V 313 consid. 3a et les références). Il reste à déterminer le début du droit à la rente. Selon les experts, l'incapacité de travail est présente depuis 2001 ce qui n'est pas contesté par les parties.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446 consid. 1.2.1 et ATF 129 V 4 consid. 1.2). Il est établi au dossier que la demande de prestations de l'assurance-invalidité a été faite par le recourant en date du 27 février 2006. Aussi, son droit éventuel à une rente doit-il être examiné à la lumière des dispositions de la LAI en vigueur jusqu'au 31 décembre 2007. Aux termes de l'art. 48 LAI (dans sa version en vigueur jusqu’au 31 décembre 2007), le droit à des prestations arriérées est régi par l'art. 24, al. 1, LPGA (al. 1). Si l'assuré présente sa demande plus de douze mois après la naissance du droit, les prestations, en dérogation à l'art. 24, al. 1, LPGA, ne sont allouées que pour les douze mois précédent le dépôt de la demande. Elles sont allouées pour une période antérieure si l'assuré ne pouvait pas connaître les faits donnant droit à prestation et qu'il présente sa demande dans les douze mois dès le moment où il en a eu connaissance (al. 2).</w:t>
      </w:r>
    </w:p>
    <w:p>
      <w:r>
        <w:t>A/2954/2008 - 12/13 - Etant donné que le recourant a déposé sa demande avant l’entrée en vigueur de la 5e révision de l’assurance-invalidité, ladite demande doit être déclarée tardive en application de l'art. 48 al. 2 LAI (dans sa version en vigueur jusqu’au 31 décembre 2007) et les prestations ne peuvent être accordées que pour les douze mois précédents, en dérogation à l’art. 24 al. 1 LPGA. En conséquence, il y a lieu de lui reconnaître le droit à une rente entière d'invalidité dès le 1er février 2005.</w:t>
      </w:r>
    </w:p>
    <w:p>
      <w:r>
        <w:rPr>
          <w:b/>
        </w:rPr>
        <w:t>E. 8</w:t>
      </w:r>
    </w:p>
    <w:p>
      <w:r>
        <w:t>Au vu de ce qui précède, le recours sera admis. Le recourant obtenant gain de cause, une indemnité de 2’500 fr. lui sera accordée à titre de participation à ses frais et dépens (art. 61 let. g LPGA). Etant donné que depuis le 1er juillet 2006, la procédure n'est plus gratuite (art. 69 al. 1bis LAI), au vu du sort du recours, il y a lieu de condamner l’intimé au paiement d'un émolument de 500 fr.</w:t>
      </w:r>
    </w:p>
    <w:p>
      <w:r>
        <w:t>A/2954/2008 - 13/13 -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