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ATAS/963/2009 vom 29. Juli 2009</w:t>
      </w:r>
    </w:p>
    <w:p>
      <w:r>
        <w:t>GE Cour de justice, 2009-07-29, FR</w:t>
      </w:r>
    </w:p>
    <w:p>
      <w:r>
        <w:rPr>
          <w:b/>
        </w:rPr>
        <w:t xml:space="preserve">Quelle: </w:t>
      </w:r>
      <w:r>
        <w:t>https://mcp.opencaselaw.ch/entscheid/ge_gerichte_ATAS_963_2009</w:t>
      </w:r>
    </w:p>
    <w:p>
      <w:r>
        <w:t>FR: GE_GERICHTE ATAS/963/2009 du 29 juillet 2009</w:t>
      </w:r>
    </w:p>
    <w:p>
      <w:r>
        <w:t>IT: GE_GERICHTE ATAS/963/2009 del 29 luglio 2009</w:t>
      </w:r>
    </w:p>
    <w:p>
      <w:pPr>
        <w:pStyle w:val="Heading2"/>
      </w:pPr>
      <w:r>
        <w:t>Erwägungen</w:t>
      </w:r>
    </w:p>
    <w:p>
      <w:r>
        <w:rPr>
          <w:b/>
        </w:rPr>
        <w:t>E. 1</w:t>
      </w:r>
    </w:p>
    <w:p>
      <w:r>
        <w:t>Conformément à l'art. 56V al. 1 let. a ch. 2 de la loi genevoise sur l'organisation judiciaire, du 22 novembre 1941 (LOJ; RS E 5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 invalidité du 19 juin 1959 (LAI; RS 831.20). Sa compétence pour juger du cas d’espèce est ainsi établie.</w:t>
      </w:r>
    </w:p>
    <w:p>
      <w:r>
        <w:rPr>
          <w:b/>
        </w:rPr>
        <w:t>E. 2</w:t>
      </w:r>
    </w:p>
    <w:p>
      <w:r>
        <w:t>Le 1er janvier 2008 sont entrées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w:t>
      </w:r>
    </w:p>
    <w:p>
      <w:r>
        <w:rPr>
          <w:b/>
        </w:rPr>
        <w:t>E. 4</w:t>
      </w:r>
    </w:p>
    <w:p>
      <w:r>
        <w:t>Est litigieuse en l'occurrence la question de savoir quel est le degré d'invalidité de la recourante à partir de janvier 2008, respectivement si son état de santé s'est amélioré à cette date au point qu'elle a pu recouvrer une capacité de gain de 50 %.</w:t>
      </w:r>
    </w:p>
    <w:p>
      <w:r>
        <w:t>A/1957/2008 - 11/16 -</w:t>
      </w:r>
    </w:p>
    <w:p>
      <w:r>
        <w:rPr>
          <w:b/>
        </w:rPr>
        <w:t>E. 5</w:t>
      </w:r>
    </w:p>
    <w:p>
      <w:r>
        <w:t>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t>A/1957/2008 - 12/16 -</w:t>
      </w:r>
    </w:p>
    <w:p>
      <w:r>
        <w:rPr>
          <w:b/>
        </w:rPr>
        <w:t>E. 7</w:t>
      </w:r>
    </w:p>
    <w:p>
      <w:r>
        <w:t>Selon l'art. 28 al. 2 LAI, l'assuré a droit à une rente s'il est invalide à 40 % au moins. La rente est échelonnée comme suit, selon le taux d'invalidité : 40 % au moins un quart, 50 % au moins une demie, 60 % au moins trois-quarts, 70 % au moins rente entière.</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Si l'administration ou le juge, se fondant sur une appréciation consciencieuse des preuves fournies par les investigations auxquelles ils doivent procéder d'office, sont</w:t>
      </w:r>
    </w:p>
    <w:p>
      <w:r>
        <w:t>A/1957/2008 - 13/16 -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En l'espèce, la recourante a fait l'objet d'une expertise par les Drs RUFF E__________ et F__________ du Centre d'expertise médicale. Ces médecins ont indiqué, en réponse à la à la question B.2.5 p. 18 de l'expertise, que la recourante était en incapacité de travail à 100% depuis le 24 juillet 2003 et, en réponse à la question B.2.6, que son état était resté stationnaire, tout en ajoutant, "avis que nous partageons actuellement". Il est vrai qu'à la question C.3.2, les experts ont répondu que la recourante pourrait travailler dans une activité adaptée à raison de quatre heures par jour. Dans son complément d'expertise du 21 janvier 2008, le Dr F__________ fait état de ce que les experts auraient admis une capacité de travail de 50 % à partir du 1er janvier 2006. Il apparaît ainsi que ces rapports sont contradictoires. On ne voit par ailleurs pas où les experts auraient constaté, dans leur rapport d'expertise initiale du 15 novembre 2007, que la capacité de travail de la recourante était de 50 %, dès lors qu'ils ont expressément admis qu'elle présentait une incapacité de travail totale. Si les experts ont indiqué, à la fin de leur rapport dans le cadre des questions concernant la réadaptation professionnelle, qu'une activité adaptée pourrait être exercée à raison de quatre heures par jour, cela doit être interprété dans le sens qu'il s'agit de leur pronostic, après modification du traitement psychopharmaceutique et psychothérapeutique préconisée. Par ailleurs, l'intimé l'a également compris dans ce sens puisqu'il a retenu que la recourante présentait une incapacité de travail totale jusqu'en septembre 2007. En outre, si l'on voulait admettre que les experts ont retenu une capacité de travail de 50 % à partir de janvier 2006, comme le Dr F__________ l'indique dans son complément d'expertise, il conviendra alors de considérer que l'expertise n'est pas convaincante, dans la mesure où les experts n'ont pas exposé en quoi l'état de santé de la recourante se serait amélioré, après avoir clairement indiqué, comme relevé ci-dessus, que l'état était stationnaire depuis 2003.</w:t>
      </w:r>
    </w:p>
    <w:p>
      <w:r>
        <w:t>A/1957/2008 - 14/16 - Partant, le Tribunal de céans partage l'analyse des documents médicaux et notamment de l'expertise du 15 juin 2007 par l'intimé dans le sens que la recourante était en incapacité de travail totale à la date de l'examen par les experts. Cela étant, il y a lieu d'examiner si son état s'est amélioré depuis cette expertise. Pour l'appréciation de l'évolution de l'état de santé, l'intimé s'est fondé sur l'expertise complémentaire du Dr F__________ du 4 septembre 2007. En premier lieu, il sied de relever que ce médecin ne fait état d'aucune amélioration, dans la mesure où il déclare au contraire que l'examen clinique est superposable au précédent. Par ailleurs, comme mentionné ci-dessus, s'il a retenu une capacité de travail à 50 %, c'est uniquement parce qu'il a considéré, à tort, que telle était la conclusion de l'expertise du 15 juin 2007. En tout état de cause, le Dr F__________ ne mentionne pas le suivi médical à domicile de la recourante depuis le 29 juin 2007, comme cela est attesté par SITEX SA et la Dresse C__________. Partant, la valeur probante du complément d'expertise du Dr F__________ est très douteuse. En effet, ce complément semble avoir été effectué dans la hâte et sans avoir approfondi le dossier. Des autres rapports médicaux, il résulte que, depuis l'expertise par le Centre d'expertise médicale, l'état de santé de la recourante ne s'est de loin pas amélioré, celle-ci vivant complètement recluse dans son appartement et étant suivie à domicile par les infirmières de SITEX SA. Son état a par ailleurs motivé plusieurs hospitalisations et les douleurs étaient exacerbées au point qu'elles ont nécessité l'administration de morphine sous-cutanée en pompe. Enfin, dernièrement, une spondylarthrite ankylosante a été objectivée. En outre, s'il est effectivement mentionné, dans le rapport du 25 septembre 2008 du Service de médecine interne de réhabilitation des HUG du 30 mai 2008, que la recourante bouge toute la journée, les médecins de ce service ont néanmoins constaté un syndrome douloureux chronique en exacerbation, des lombosciatalgies chroniques, une fibromyalgie, un épisode dépressif récurrent et un trouble de la personnalité. Le syndrome douloureux a justifié une relative longue hospitalisation de 19 jours, ce qui témoigne également de la gravité des atteintes. Il convient enfin de relever que s'il est vrai que la recourante souffre essentiellement d'un trouble somatoforme douloureux et d'une fibromyalgie, les critères jurisprudentiels pour reconnaître le caractère invalidant de cette affection sont en l'occurrence établis (cf. ATF 130 V 396 consid. 5.3 et consid. 6). En effet, ces affections sont accompagnées d'une comorbidité psychiatrique importante, à savoir un trouble de la personnalité émotionnellement labile type borderline, auquel s'ajoute un état dépressif récurrent, ainsi que des comportements auto-mutilatoires. Le Dr F__________ a qualifié le trouble de la personnalité de sévère dans son complément d'expertise du 4 septembre 2007. De surcroît, la recourante présente</w:t>
      </w:r>
    </w:p>
    <w:p>
      <w:r>
        <w:t>A/1957/2008 - 15/16 - aussi des affections corporelles chroniques, notamment un eczéma, une sclérose hétérogène et une spondylarthrite ankylosante. Le processus maladif s'étend sur plusieurs années sans rémission durable. La recourante vivant totalement récluse dans son appartement, une importante perte d'intégration sociale doit également être admise. Il y a en outre lieu de constater l'échec des traitements ambulatoires et stationnaires conformes aux règles de l'art, en dépit d'une prise en charge intensive de la recourante depuis de nombreuses années. Enfin, il appert que le trouble somatoforme douloureux, respectivement la fibromyalgie se manifeste en l'occurrence avec une sévérité telle qu'il ne paraît objectivement pas surmontable par un effort de volonté. Partant, une incapacité de travail totale doit être admise depuis 2003, sans aucune amélioration depuis lors, sans qu'il soit nécessaire de procéder à une instruction complémentaire.</w:t>
      </w:r>
    </w:p>
    <w:p>
      <w:r>
        <w:rPr>
          <w:b/>
        </w:rPr>
        <w:t>E. 10</w:t>
      </w:r>
    </w:p>
    <w:p>
      <w:r>
        <w:t>Au vu de ce qui précède, la décision sera annulée et la recourante mise au bénéfice d'une rente d'invalidité entière illimitée dans le temps à compter de juillet 2004.</w:t>
      </w:r>
    </w:p>
    <w:p>
      <w:r>
        <w:rPr>
          <w:b/>
        </w:rPr>
        <w:t>E. 11</w:t>
      </w:r>
    </w:p>
    <w:p>
      <w:r>
        <w:t>L'intimé qui succombe sera condamné à un émolument de justice de 200 fr.</w:t>
      </w:r>
    </w:p>
    <w:p>
      <w:r>
        <w:t>A/1957/2008 - 16/16 -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