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ATAS/962/2024 vom 3. Dezember 2024</w:t>
      </w:r>
    </w:p>
    <w:p>
      <w:r>
        <w:t>GE Cour de justice, 2024-12-03, FR</w:t>
      </w:r>
    </w:p>
    <w:p>
      <w:r>
        <w:rPr>
          <w:b/>
        </w:rPr>
        <w:t xml:space="preserve">Quelle: </w:t>
      </w:r>
      <w:r>
        <w:t>https://mcp.opencaselaw.ch/entscheid/ge_gerichte_ATAS_962_2024</w:t>
      </w:r>
    </w:p>
    <w:p>
      <w:r>
        <w:t>FR: GE_GERICHTE ATAS/962/2024 du 3 décembre 2024</w:t>
      </w:r>
    </w:p>
    <w:p>
      <w:r>
        <w:t>IT: GE_GERICHTE ATAS/962/2024 del 3 dicembre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56ss LPGA).</w:t>
      </w:r>
    </w:p>
    <w:p>
      <w:r>
        <w:rPr>
          <w:b/>
        </w:rPr>
        <w:t>E. 2</w:t>
      </w:r>
    </w:p>
    <w:p>
      <w:r>
        <w:t>février 2024 portant sur le droit à la rente dès le 1er février 2022. La décision du 25 mars 2024 porte uniquement sur le droit à la rente dès le 1er janvier 2024. Les décisions du 2 février 2024 sont entrées en force, faute de recours dans le délai de 30 jours, qui a expiré avant la notification de la nouvelle décision. Toutefois, l’art. 53 al. 2 LPGA dispose que l’assureur peut revenir sur les décisions ou les décisions sur opposition formellement passées en force par la voie de la reconsidération lorsqu’elles sont manifestement erronées et que leur rectification revêt une importance notable. Par le biais de la reconsidération, on corrigera une application initiale erronée du droit (ATF 146 V 364 consid. 4.2). Une décision est manifestement erronée lorsqu’elle n’applique pas correctement le droit, par exemple lorsqu’elle se fonde sur des dispositions légales erronées. Tel n’est pas le cas lorsque le motif de reconsidération a trait à des conditions matérielles d’octroi, et que le point de savoir si ces conditions sont réalisées implique nécessairement l’exercice d’un certain pouvoir d’appréciation par l’autorité (arrêt du Tribunal fédéral 9C_575/2007 du 18 octobre 2007 consid. 2.2). En l’espèce, la décision du 25 mars 2024 ne donne guère d’indications sur les motifs de la reconsidération qu’elle emporte – manquement que l’intimé a pallié dans les explications à l’appui de sa réponse du 8 juillet 2024 – et mentionne simplement qu’elle annule et remplace la décision précédente. Cela étant, et malgré les imprécisions dans le libellé de cette décision, force est de constater qu’elle a uniquement pour objet le taux de la rente dès le 1er janvier 2024, à l’exclusion de la période précédente. On doit ainsi retenir qu’elle ne remplace les décisions du 2 février 2024 que dans la mesure où elle porte sur le droit aux prestations pour la même période, soit dès le 1er janvier 2024, et que ces précédentes décisions restent valables pour la période qui précède. Il faut souligner que si la décision du 25 mars 2024 devait être considérée comme mettant à néant les précédentes décisions du 2 février 2024 dans leur intégralité, il y aurait alors lieu de constater que le droit à la rente du 1er février 2022 au</w:t>
      </w:r>
    </w:p>
    <w:p>
      <w:r>
        <w:t>A/1540/2024 - 8/19 - 31 décembre 2023 n’a pas été tranché par une décision, puisque celle du 25 mars 2024 est muette à ce sujet. Or, 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(ATF 131 V 164 consid. 2.1 ; arrêt du Tribunal fédéral I 12/01 du 9 juillet 2001 consid. 1). Ainsi, dans une telle hypothèse, la chambre de céans ne serait pas fondée à examiner le droit à la rente jusqu’au 31 décembre 2023, faute de décision sujette à recours. Partant, fait seul l’objet du litige le degré d’invalidité du recourant dès le 1er janvier 2024.</w:t>
      </w:r>
    </w:p>
    <w:p>
      <w:r>
        <w:rPr>
          <w:b/>
        </w:rPr>
        <w:t>E. 3</w:t>
      </w:r>
    </w:p>
    <w:p>
      <w:r>
        <w:t>Il convient en préambule de rappeler ce qui suit au sujet du droit applicable.</w:t>
      </w:r>
    </w:p>
    <w:p>
      <w:r>
        <w:rPr>
          <w:b/>
        </w:rPr>
        <w:t>E. 3.1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Le droit ne prend pas naissance tant que l’assuré peut faire valoir son droit à une indemnité journalière au sens de l’art. 22 (al. 2).</w:t>
      </w:r>
    </w:p>
    <w:p>
      <w:r>
        <w:rPr>
          <w:b/>
        </w:rPr>
        <w:t>E. 3.2</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w:t>
      </w:r>
    </w:p>
    <w:p>
      <w:r>
        <w:t>A/1540/2024 - 9/19 -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w:t>
      </w:r>
    </w:p>
    <w:p>
      <w:r>
        <w:rPr>
          <w:b/>
        </w:rPr>
        <w:t>E. 3.3</w:t>
      </w:r>
    </w:p>
    <w:p>
      <w:r>
        <w:t>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Cette disposition s’applique également à la décision par laquelle une rente échelonnée dans le temps est accordée avec effet rétroactif (arrêt du Tribunal fédéral 9C_244/2020 du 5 janvier 2021 consid. 4.3.1). Elle est également applicable par analogie dans le cadre d’une nouvelle demande de prestations de l’assurance-invalidité après le rejet d’une demande antérieure (cf. arrêt du Tribunal fédéral 9C_64/2023 du 6 décembre 2023 consid. 6.1).</w:t>
      </w:r>
    </w:p>
    <w:p>
      <w:r>
        <w:rPr>
          <w:b/>
        </w:rPr>
        <w:t>E. 3.4</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3.5</w:t>
      </w:r>
    </w:p>
    <w:p>
      <w:r>
        <w:t>En l’espèce, le droit à la rente est né au plus tôt une année après l’arrêt de travail qui a débuté en février 2021, soit en février 2022. C’est ainsi le nouveau droit qui est applicable.</w:t>
      </w:r>
    </w:p>
    <w:p>
      <w:r>
        <w:rPr>
          <w:b/>
        </w:rPr>
        <w:t>E. 4</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w:t>
      </w:r>
    </w:p>
    <w:p>
      <w:r>
        <w:t>A/1540/2024 - 10/19 - déterminer quels travaux on peut encore, raisonnablement, exiger de l'assuré (ATF 125 V 256 consid. 4 ; ATF 115 V 133 consid. 2). Ces données médicales permettent généralement une appréciation objective du cas (arrêt du Tribunal fédéral 8C_713/2019 du 12 août 2020 consid. 5.2).</w:t>
      </w:r>
    </w:p>
    <w:p>
      <w:r>
        <w:rPr>
          <w:b/>
        </w:rPr>
        <w:t>E. 4.1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ATF 122 V 157 consid. 1c).</w:t>
      </w:r>
    </w:p>
    <w:p>
      <w:r>
        <w:rPr>
          <w:b/>
        </w:rPr>
        <w:t>E. 4.2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4.3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5</w:t>
      </w:r>
    </w:p>
    <w:p>
      <w:r>
        <w:t>Dans un arrêt de principe concernant les troubles somatoformes douloureux (ATF 141 V 281), le Tribunal fédéral a retenu que la capacité de travail réellement</w:t>
      </w:r>
    </w:p>
    <w:p>
      <w:r>
        <w:t>A/1540/2024 - 11/19 -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(classification internationale des maladies)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w:t>
      </w:r>
    </w:p>
    <w:p>
      <w:r>
        <w:t>A/1540/2024 - 12/19 -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A/1540/2024 - 13/19 -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6</w:t>
      </w:r>
    </w:p>
    <w:p>
      <w:r>
        <w:t>Dans un arrêt de 2017, le Tribunal fédéral a étendu la jurisprudence précitée à toutes les maladies psychiques (ATF 143 V 409 consid. 4.5). Notre Haute Cour a par la suite modifié sa jurisprudence en ce sens que des syndromes de dépendance ou des troubles liés à la consommation de substances diagnostiqués par des spécialistes ne peuvent plus d'emblée se voir nier toute pertinence du point de vue de l'assurance-invalidité, leur incidence sur la capacité de travail devant désormais également être déterminée au moyen de la grille d'évaluation applicable en matière de troubles somatoformes douloureux et de troubles psychiques (ATF 145 V 215 consid. 5.3.3 et consid. 6.2). Dans ce contexte, le point de départ de l’évaluation de ces troubles est l'ensemble des constatations médicales qui ont été faites par l'expert psychiatre et lui ont permis de poser un diagnostic reposant sur les critères d'un système reconnu de classification, qui doit être motivé de telle sorte que l’autorité soit en mesure de comprendre non seulement si les critères de la classification sont effectivement remplis mais également si la pathologie diagnostiquée présente un degré de gravité susceptible d'occasionner des limitations dans les fonctions de la vie courante (arrêt du Tribunal fédéral 9C_618/2019 du 16 mars 2020 consid. 8.1.1).</w:t>
      </w:r>
    </w:p>
    <w:p>
      <w:r>
        <w:t>A/1540/2024 - 14/19 -</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7.1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7.2</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7.3</w:t>
      </w:r>
    </w:p>
    <w:p>
      <w:r>
        <w:t>Selon la jurisprudence, il y a lieu de procéder à une réduction des salaires statistiques lorsqu'il résulte de l’ensemble des circonstances personnelles et professionnelles du cas particulier (limitations liées au handicap, âge, années de</w:t>
      </w:r>
    </w:p>
    <w:p>
      <w:r>
        <w:t>A/1540/2024 - 15/19 -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On soulignera que l’art. a26bis al. 3 du règlement sur l’assurance-invalidité du 17 janvier 1961 (RAI - RS 831.201), dans sa teneur du 1er janvier 2022 au 31 décembre 2023, avait la teneur suivante : si, du fait de l’invalidité, les capacités fonctionnelles de l’assuré au sens de l’art. 49 al. 1bis, ne lui permettent de travailler qu’à un taux d’occupation de 50% ou moins, une déduction de 10% pour le travail à temps partiel est opérée sur la valeur statistique. Le Tribunal fédéral a jugé que cette disposition n’interdisait pas de concéder un abattement allant au- delà de cette réduction forfaitaire réglementaire de 10% en fonction des critères dégagés par la jurisprudence (arrêt du Tribunal fédéral 8C_823/2023 du</w:t>
      </w:r>
    </w:p>
    <w:p>
      <w:r>
        <w:rPr>
          <w:b/>
        </w:rPr>
        <w:t>E. 8</w:t>
      </w:r>
    </w:p>
    <w:p>
      <w:r>
        <w:t>En l’espèce, l’intimé s’est fondé sur le rapport de la Dre H______ pour déterminer la capacité de travail et de gain du recourant.</w:t>
      </w:r>
    </w:p>
    <w:p>
      <w:r>
        <w:rPr>
          <w:b/>
        </w:rPr>
        <w:t>E. 8.1</w:t>
      </w:r>
    </w:p>
    <w:p>
      <w:r>
        <w:t>Le rapport de cette experte correspond en tous points aux réquisits jurisprudentiels en matière d’expertises médicales, dès lors qu’il comprend une anamnèse détaillée, qu’il relate les plaintes du recourant, et qu’il a été établi en parfaite connaissance du dossier médical de celui-ci. L’experte psychiatre a également analysé l’incidence de l’atteinte à la santé sur l’exigibilité d’une activité à l’aune des indicateurs de gravité applicables aux troubles psychiques selon la jurisprudence. Ses diagnostics sont clairs et motivés. On peut certes regretter que la Dre H______ ne se soit pas expressément prononcée sur sa divergence d’appréciation par rapport à l’évaluation de la capacité de travail par la Dre F______ et le Dr G______, dont elle s’écarte</w:t>
      </w:r>
    </w:p>
    <w:p>
      <w:r>
        <w:t>A/1540/2024 - 16/19 - puisqu’elle admet une capacité de travail de 50% dans une activité adaptée en février 2021. Toutefois, cette lacune n’a pas de portée pratique ici, dès lors que l’intimé a admis une capacité de travail totale jusqu’en avril 2022 et que le litige est, comme on l’a vu, circonscrit au degré d’invalidité dès le 1er janvier 2024. Il n’existe du reste pas d’élément suscitant des doutes importants sur l’appréciation de la Dre H______ en ce qui concerne la capacité de travail du recourant dès avril 2022. La Dre F______ admet en effet avoir constaté une amélioration dès cette date. Celle-ci soutient toutefois que la capacité de travail resterait nulle en raison de l’anxiété du recourant. Il faut cependant noter que cette psychiatre a qualifié l’anxiété de moyenne seulement dans son rapport du 18 mars 2022, en mentionnant une amélioration de ce trouble depuis une modification du traitement quelques mois plus tôt. De plus, dans ce même rapport, elle met en avant une humeur déprimée, une tristesse permanente, une perte de l’élan vital et un pessimisme, soit des symptômes relevant d’un abaissement de l’humeur plutôt que de troubles anxieux. On peut à cet égard souligner que le premier psychiatre consulté, le Dr B______, mentionnait en décembre 2019 une angoisse flottante mais moins intense qu’auparavant, et faisait avant tout état d’un ralentissement psychomoteur, de fatigue et d’irritabilité. En outre, en mars 2023, la Dre F______ ne retenait pas de diagnostic lié à l’anxiété, et signalait que celle-ci était limitée aux préoccupations financières. Dans les plaintes rapportées par la Dre H______, le recourant a par ailleurs signalé une tristesse modérée, une anhédonie partielle, des troubles de la concentration, une fatigue qui le ralentissait et des difficultés de concentration et d'endormissement, et citait des angoisses uniquement en lien avec son avenir professionnel. Au vu de ces éléments, il n’apparaît ainsi pas que l’angoisse du recourant soit au premier plan de l’atteinte, ni que la Dre H______ n’en aurait pas suffisamment tenu compte. Les autres critiques de la Dre F______ dans son rapport du 23 août 2024 ne sont pas non plus de nature à remettre en cause l’incapacité de gain établie par l’intimé. On ne saurait la suivre en tant qu’elle souligne la totale abstinence du recourant, qui serait cruciale dès lors que l’experte l’aurait contestée. En effet, l’intimé n’a nullement focalisé son appréciation de la capacité de travail sur l’exigibilité d’un sevrage, et la Dre H______ ne nie pas que le recourant serait abstinent à l’alcool – en-dehors de quelques prises épisodiques – puisqu’elle a bien précisé que le succès d’une reprise serait lié au maintien du sevrage, ce qui révèle qu’elle admet que celui-ci est pour l’essentiel acquis. S’agissant des résultats des analyses sanguines, que la Dre F______ explique par la diminution du dosage des antidépresseurs en raison de leurs effets, il n’en reste pas moins que cette psychiatre ne soutient pas qu’une autre médication entraînant moins d’effets secondaires aurait été tentée, ce qui est également un indice plaidant en faveur d’une atteinte de gravité modérée. La Dre F______ soutient en outre que les atteintes somatiques n’auraient pas été prises en compte. Or, sur ce point, le SMR a défini des limitations fonctionnelles</w:t>
      </w:r>
    </w:p>
    <w:p>
      <w:r>
        <w:t>A/1540/2024 - 17/19 - en lien avec les atteintes annoncées, dont aucun élément du dossier ne permet de suggérer qu’elles ne tiendraient pas adéquatement compte de ces troubles, et qui semblent tout à fait compatibles avec les indications du Dr E______. Celui-ci avait en effet retenu que l’activité habituelle physique n’était plus possible en raison de l’atteinte, et le SMR a précisément retenu l’exigibilité d’une activité sédentaire légère. Quant à l’épilepsie, il sied de souligner que le Dr D______ ne la considère pas comme une contre-indication à l’exercice d’une activité professionnelle puisqu’elle est bien contrôlée sous traitement. Compte tenu de ce qui précède, la chambre de céans ne s’écartera pas de la capacité de travail de 50% retenue par la Dre H______ durant la période litigieuse. Par appréciation anticipée des preuves, elle renoncera à mettre en œuvre l’expertise judiciaire requise par le recourant (ATF 145 I 167 consid. 4.1).</w:t>
      </w:r>
    </w:p>
    <w:p>
      <w:r>
        <w:rPr>
          <w:b/>
        </w:rPr>
        <w:t>E. 8.2</w:t>
      </w:r>
    </w:p>
    <w:p>
      <w:r>
        <w:t>Reste ainsi à examiner le calcul du degré d’invalidité par l’intimé dès le 1er janvier 2024. L’intimé a indiqué s’être référé pour le revenu sans invalidité au salaire de 2017 ressortant du compte individuel AVS, soit CHF 78'238.- selon le chiffre figurant sous « Total annuel » de la deuxième page de l’extrait du compte individuel. Cela étant, la dernière année complète avant l’atteinte à la santé est en principe déterminante pour fixer le revenu sans atteinte à la santé, soit 2018 en l’espèce. La chambre de céans ne s’écartera cependant pas du revenu afférent à 2017, dans la mesure où il s’avère plus favorable au recourant que le revenu total de 2018 mentionné dans le compte individuel, qui est de CHF 73'621.-. S’agissant du revenu après invalidité, c’est à juste titre que l’intimé s’est référé au salaire dans des activités simples et répétitives de l’ESS 2020, compte tenu d’une capacité de travail de 50%. En effet, ce revenu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En particulier, il faut confirmer que l’édition 2020 de l’ESS est applicable dans le cas d’espèce, puisque les tableaux de l’ESS 2022 n’ont été publiés qu’en mai 2024 (sur cette question, cf. arrêt du Tribunal fédéral 8C_655/2016 du 4 août 2017 consid. 6.3). Le fait que l’intimé n’ait pas indexé les revenus à 2024 ne prête pas non plus le flanc à la critique, puisque les indices topiques n’étaient pas connus au moment de son calcul. Quant à la réduction de 20% du revenu statistique, elle est conforme aux dispositions réglementaires citées. Il est inutile de déterminer dans la présente procédure si l’art. 26bis RAI dans sa nouvelle teneur dès le 1er janvier 2024 est conforme au droit en tant qu’il exclut toute réduction statistique supplémentaire à 20% – précision qui ne figurait pas dans la précédente mouture de cette disposition analysée dans l’arrêt précité</w:t>
      </w:r>
    </w:p>
    <w:p>
      <w:r>
        <w:t>A/1540/2024 - 18/19 - du 8 juillet 2024. En effet, même s’il fallait analyser l’abattement à l’aune des critères dégagés par la jurisprudence, il n’apparaît pas que les circonstances du présent cas justifient un abattement supérieur à 20%, les limitations fonctionnelles en particulier n’étant pas particulièrement restrictives. Il y a ainsi lieu de confirmer le degré d’invalidité de 67.21%, arrondi à 67%. En effet, le degré d’invalidité doit être arrondi selon les règles mathématiques (ATF 130 V 121 consid. 3.2, règle appliquée également aux rentes calculées selon le nouveau système ; cf. arrêt du Tribunal fédéral 8C_770/2023 du 11 juillet 2024 consid. 7.2.3.2). Eu égard à ce qui précède, la décision de l’intimé doit être confirmée.</w:t>
      </w:r>
    </w:p>
    <w:p>
      <w:r>
        <w:rPr>
          <w:b/>
        </w:rPr>
        <w:t>E. 9</w:t>
      </w:r>
    </w:p>
    <w:p>
      <w:r>
        <w:t>Le recours est rejeté. Le recourant succombant, il supporte l’émolument de procédure de CHF 200.- (art. 69 al. 1bis LAI). * Dit qu'il n'est pas perçu d'émolument * Rectification d'une erreur matérielle le 20.02.2025 BPG/wmh</w:t>
      </w:r>
    </w:p>
    <w:p>
      <w:r>
        <w:t>A/1540/2024 - 19/19 -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