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ATAS/962/2017 vom 26. Oktober 2017</w:t>
      </w:r>
    </w:p>
    <w:p>
      <w:r>
        <w:t>GE Cour de justice, 2017-10-26, FR</w:t>
      </w:r>
    </w:p>
    <w:p>
      <w:r>
        <w:rPr>
          <w:b/>
        </w:rPr>
        <w:t xml:space="preserve">Quelle: </w:t>
      </w:r>
      <w:r>
        <w:t>https://mcp.opencaselaw.ch/entscheid/ge_gerichte_ATAS_962_2017</w:t>
      </w:r>
    </w:p>
    <w:p>
      <w:r>
        <w:t>FR: GE_GERICHTE ATAS/962/2017 du 26 octobre 2017</w:t>
      </w:r>
    </w:p>
    <w:p>
      <w:r>
        <w:t>IT: GE_GERICHTE ATAS/962/2017 del 26 ottobre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Déposé le 23 janvier 2017, le recours a été formé, compte tenu des féries de Noël, du 18 décembre au 2016 au 2 janvier 2017, dans les délai et forme prescrits (art. 38 al. 4 let .c LPGA, 60 et 61 let. b LPGA ; art. 62 al. 1 de la de loi sur la procédure administrative du 12 septembre 1985 [LPA - E 5 10]).</w:t>
      </w:r>
    </w:p>
    <w:p>
      <w:r>
        <w:rPr>
          <w:b/>
        </w:rPr>
        <w:t>E. 4</w:t>
      </w:r>
    </w:p>
    <w:p>
      <w:r>
        <w:t>Le litige porte sur le droit du recourant à des prestations de l’assurance-invalidité, singulièrement sur l’existence d’une incapacité de travail.</w:t>
      </w:r>
    </w:p>
    <w:p>
      <w:r>
        <w:rPr>
          <w:b/>
        </w:rPr>
        <w:t>E. 5</w:t>
      </w:r>
    </w:p>
    <w:p>
      <w:r>
        <w:t>Le recourant invoque, tout d’abord, une violation de son droit d’être entendu dans la mesure où la décision querellée a été rendue avant que le délai de 30 jours pour faire valoir ses observations sur le préavis n’ait expiré. Ce grief, de nature formelle, doit être examiné en premier lieu (ATF 127 V 431 consid. 3d/aa, 124 V 90 consid. 2 notamment). a. À teneur de l’art. 57a al. 1 LAI, au moyen d’un préavis, l’office AI communique à l’assuré toute décision finale qu’il entend prendre au sujet d’une demande de</w:t>
      </w:r>
    </w:p>
    <w:p>
      <w:r>
        <w:t>A/247/2017 - 6/12 - prestations ou au sujet de la suppression ou de la réduction d’une prestation déjà allouée. L’assuré a le droit d’être entendu, conformément à l’art. 42 LPGA. L’art. 73ter al. 1 du règlement du 17 janvier 1961 sur l’assurance-invalidité du 17 janvier 1961 (RAI - RS 831.201) prévoit, quant à lui, que les parties peuvent faire part à l’office AI de leurs observations sur le préavis dans un délai de 30 jours (al. 1). Une fois l’instruction de la demande achevée, l’office AI se prononce sur la demande de prestations (art. 74 al. 1 RAI). L’assureur doit rendre par écrit les décisions qui portent sur des prestations, créances ou injonctions importantes ou avec lesquelles l’intéressé n’est pas d’accord (art. 49 al. 1 LPGA). En lien avec l’art. 73ter RAI, le Tribunal fédéral a notamment considéré que le droit d’être entendu était violé lorsque l’office AI rendait sa décision avant que le délai imparti à l’assuré pour formuler les observations s’agissant du préavis soit échu (arrêt du Tribunal fédéral I 658/04 consid. 5).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le recourant prétend que le projet de décision du 25 octobre 2016 ne lui a été envoyé que le 30 novembre 2016 et qu’il ne l’a reçu que le 5 décembre 2016. Ainsi, en rendant la décision querellée le 5 décembre 2016, l’intimé aurait violé son droit d’être entendu. Cette question peut toutefois rester ouverte, dès lors qu’une telle violation a quoi qu’il en soit été réparée, dans la mesure où la présente procédure a fait l’objet d’un échange d’écritures au cours duquel le recourant a pu fournir toutes les explications utiles à l’appui de sa position et produire les pièces qu’il estime pertinentes.</w:t>
      </w:r>
    </w:p>
    <w:p>
      <w:r>
        <w:rPr>
          <w:b/>
        </w:rPr>
        <w:t>E. 6</w:t>
      </w:r>
    </w:p>
    <w:p>
      <w:r>
        <w:t>En second lieu, le recourant requiert des prestations de l’assurance-invalidité. Il invoque une incapacité de travail due à son infirmité congénitale. a/aa.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A/247/2017 - 7/12 - conséquences de l’atteinte à la santé sont prises en compte pour juger de la présence d’une incapacité de gain. De plus, il n’y a incapacité de gain que si celle-ci n’est pas objectivement surmontable (al. 2 en vigueur dès le 1er janvier 2008). a/bb. Lors de l'examen de la mise en valeur de la capacité de travail résiduelle, on ne saurait se fonder sur des possibilités de travail irréalistes. Ainsi, on ne peut parler d'une activité exigible au sens de l'art. 16 LPGA (auquel renvoie l'art. 28a al. 1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A/247/2017 - 8/12 -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w:t>
      </w:r>
    </w:p>
    <w:p>
      <w:r>
        <w:t>A/247/2017 - 9/12 -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w:t>
      </w:r>
    </w:p>
    <w:p>
      <w:r>
        <w:rPr>
          <w:b/>
        </w:rPr>
        <w:t>E. 9</w:t>
      </w:r>
    </w:p>
    <w:p>
      <w:r>
        <w:t>En l’espèce, il est établi que le recourant souffre d’une dystrophie musculaire des ceintures, pour laquelle le diagnostic de maladie d’Emery-Dreiffus a été posé, ainsi que d’une micromandibulie. Les parties s’opposent toutefois sur les répercussions de ces atteintes sur la capacité de travail du recourant. Pour sa part, l’intimé se fonde sur les avis du SMR des 14 octobre 2016 et 8 février 2017 pour nier toute incapacité de travail, tant dans l’activité habituelle que dans</w:t>
      </w:r>
    </w:p>
    <w:p>
      <w:r>
        <w:t>A/247/2017 - 10/12 - une activité adaptée. De son côté, le recourant se réfère aux rapports du Dr C______ des 5 octobre 2016 et 8 mars 2017 pour justifier une incapacité totale de travailler et ce, dans toute activité. Il convient donc d’examiner, dans un premier temps, si les documents médicaux précités revêtent une pleine valeur probante. Force est tout d’abord de constater que les rapports du Dr C______ ne répondent pas aux réquisits jurisprudentiels en la matière. En effet, ils ne contiennent aucune anamnèse et ne précisent pas les plaintes du recourant. Il ne ressort pas des rapports en question que les points litigieux importants ont fait l'objet d'une étude fouillée et que des examens complets ont été effectués. Enfin, les conclusions du médecin précité ne sont absolument pas motivées. La Cour de céans ne saurait dès lors se fonder sur lesdits rapports pour apprécier la capacité de travail du recourant. Quant aux avis du SMR, ils constituent des rapports au sens de l'art. 59 al. 2bis LAI (en corrélation avec l'art. 49 al. 1 RAI) et ont pour fonction d'opérer la synthèse des renseignements médicaux versés au dossier et de prodiguer des recommandations quant à la suite à donner au dossier sur le plan médical. Ils ne permettent dès lors pas de pallier les lacunes des rapports du Dr C______ et de poser une appréciation médicale convaincante, d’autant moins que ces avis ne se recoupent pas. En effet, si la Dresse E______ a considéré, dans son très bref avis du 14 octobre 2016, que l’activité habituelle était encore exigible à 100%, le docteur F______ a estimé, dans son avis du 8 février 2017, que la capacité de travail ne restait entière que dans une activité respectant strictement les limitations fonctionnelles citées, sans se prononcer sur le fait de savoir si l’activité habituelle répondait à cette définition. Les médecins du SMR ont également apprécié différemment les limitations fonctionnelles induites par les atteintes à la santé du recourant : le Dr F______ a étendu, dans son avis du 8 février 2017, celles retenues par la Dresse E______, dans son très bref avis du 14 octobre 2016, pour y ajouter des limitations relatives à la mobilité de la nuque. Cela étant précisé, la Cour de céans observe que la mobilité de la nuque est nécessaire à bon nombre d’activités, dont notamment celle d’électronicien (pour une description du métier de ce métier : voir le portail officiel suisse d’information de l’orientation professionnelle, universitaire et de carrière –www.orientation.ch). En outre, dans la mesure où le recourant souffre d’un enraidissement progressif de la nuque à tout le moins depuis 2012 et qu’il n’a jamais exercé la profession qu’il a apprise, l’obtention du CFC d’électronicien en septembre 2013 et d’un diplôme de technicien ES en électronique en juin 2014 ne saurait suffire pour conclure qu’il est capable de travailler à 100% et à plein rendement dans ce domaine. Par ailleurs, on note que le recourant a été immatriculé en tant qu’étudiant en microtechnique pour le semestre 2014-2015. Le dossier ne permet toutefois pas de savoir s’il continue cette formation ou s’il l’a abandonnée et, dans cette hypothèse, pour quelles raisons.</w:t>
      </w:r>
    </w:p>
    <w:p>
      <w:r>
        <w:t>A/247/2017 - 11/12 - En résumé, le dossier de l’intimée ne contient aucun rapport médical circonstancié et probant, permettant de trancher la question de la capacité de travail du recourant. Bien plus, au vu de l’avis du SMR du 8 février 2017, on peut se demander si une activité adaptée aux limitations fonctionnelles, notamment à celles au niveau de la mobilité de la nuque, existe vraiment. Dès lors que l’intimé n’a procédé à aucune investigation, il y a lieu de lui renvoyer la cause pour instruction médicale complémentaire et, en fonction des résultats, examen des mesures professionnelles entrant éventuellement en considération.</w:t>
      </w:r>
    </w:p>
    <w:p>
      <w:r>
        <w:rPr>
          <w:b/>
        </w:rPr>
        <w:t>E. 10</w:t>
      </w:r>
    </w:p>
    <w:p>
      <w:r>
        <w:t>Au vu de ce qui précède, le recours est admis et la décision du 5 décembre 2016 sera annulée, la cause étant renvoyée à l’OAI pour instruction complémentaire au sens des considérants. Le recourant obtenant gain de cause et étant représenté, une indemnité de CHF 2'000.- lui est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A/247/2017 - 12/12 -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