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ATAS/962/2013 vom 1. Oktober 2013</w:t>
      </w:r>
    </w:p>
    <w:p>
      <w:r>
        <w:t>GE Cour de justice, 2013-10-01, FR</w:t>
      </w:r>
    </w:p>
    <w:p>
      <w:r>
        <w:rPr>
          <w:b/>
        </w:rPr>
        <w:t xml:space="preserve">Quelle: </w:t>
      </w:r>
      <w:r>
        <w:t>https://mcp.opencaselaw.ch/entscheid/ge_gerichte_ATAS_962_2013</w:t>
      </w:r>
    </w:p>
    <w:p>
      <w:r>
        <w:t>FR: GE_GERICHTE ATAS/962/2013 du 1 octobre 2013</w:t>
      </w:r>
    </w:p>
    <w:p>
      <w:r>
        <w:t>IT: GE_GERICHTE ATAS/962/2013 del 1 ottobre 2013</w:t>
      </w:r>
    </w:p>
    <w:p>
      <w:pPr>
        <w:pStyle w:val="Heading2"/>
      </w:pPr>
      <w:r>
        <w:t>Erwägungen</w:t>
      </w:r>
    </w:p>
    <w:p>
      <w:r>
        <w:rPr>
          <w:b/>
        </w:rPr>
        <w:t>E. 1</w:t>
      </w:r>
    </w:p>
    <w:p>
      <w:r>
        <w:t>a) Par arrêt du 22 juillet 2013, le Tribunal fédéral a annulé le jugement de la Cour de céans du 7 janvier 2013 (ATAS/11/2013) et lui a renvoyé la cause pour instruction complémentaire et nouveau jugement. Le 12 août 2013, la procédure A/3022/2011 a ainsi été rouverte.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6 octobre 2006, laquelle invoque une aggravation de l'état de santé de la recourante depuis juin 2006.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pour les faits qui lui sont postérieurs.</w:t>
      </w:r>
    </w:p>
    <w:p>
      <w:r>
        <w:t>A/3028/2011 - 18/30 -</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14 mars 2011, qui a été confirmé par la décision du 31 août 2011, contre laquelle l'assurée a interjeté directement recours devant la Chambre des assurances sociales de la Cour de justice.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Selon la teneur de cet article en vigueur jusqu'au 31 décembre 2007, le droit à la rente au sens de l'art. 28 LAI prend naissance au plus tôt à la date à partir de laquelle l'assuré présente une incapacité de gain durable de 40 % au moins (art. 7 LPGA) (let. a) ou à partir de</w:t>
      </w:r>
    </w:p>
    <w:p>
      <w:r>
        <w:t>A/3028/2011 - 19/30 - laquelle il a présenté, en moyenne, une incapacité de travail de 40 % au moins pendant une année sans interruption notable (art. 6 LPGA) (let. b).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w:t>
      </w:r>
    </w:p>
    <w:p>
      <w:r>
        <w:t>A/3028/2011 - 20/30 -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w:t>
      </w:r>
    </w:p>
    <w:p>
      <w:r>
        <w:t>A/3028/2011 - 21/30 -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w:t>
      </w:r>
    </w:p>
    <w:p>
      <w:r>
        <w:t>A/3028/2011 - 22/30 -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A/3028/2011 - 23/30 -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w:t>
      </w:r>
    </w:p>
    <w:p>
      <w:r>
        <w:t>A/3028/2011 - 24/30 -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9</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w:t>
      </w:r>
    </w:p>
    <w:p>
      <w:r>
        <w:t>A/3028/2011 - 25/30 -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w:t>
      </w:r>
    </w:p>
    <w:p>
      <w:r>
        <w:t>A/3028/2011 - 26/30 -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10</w:t>
      </w:r>
    </w:p>
    <w:p>
      <w:r>
        <w:t>a) En l'espèce, le Tribunal fédéral a, par arrêt du 22 juillet 2013 (9C 137/2013), annulé le jugement de la Cour de céans du 7 janvier 2013 et renvoyé la cause pour instruction complémentaire et nouveau jugement. Le Tribunal fédéral a confirmé la disqualification de l'expertise du Dr R___________ du 12 août 2010, la Cour de céans ayant constaté que ledit rapport ne remplissait pas les critères jurisprudentiels nécessaires pour qu'il lui soit reconnu une pleine valeur probante. Le Tribunal fédéral a considéré en outre que l'expertise du Dr W___________ n'était pas probante. Il a relevé que le diagnostic et les conclusions de l'expertise ne reposent effectivement pas sur des observations cliniques approfondies, mais semblent bien plutôt résulter d'une appréciation fondée pour l'essentiel sur les plaintes de l'intimée et sur une analyse descriptive des documents médicaux versés au dossier. Les observations cliniques récoltées par le docteur W___________ font, en tout et pour tout, six lignes d'un document de vingt-quatre pages, observations que l'on peut opposer aux trois pages rapportées par le docteur H___________ dans le cadre de sa seconde expertise. Sauf à correspondre au diagnostic retenu par les médecins traitants de l'intimée, le diagnostic de trouble schizo-affectif n'est pas étayé par des explications personnelles de l'expert fondées sur des symptômes cliniques concrets appartenant au registre de la dépression et de la schizophrénie. D'un point de vue plus global, l'expert ne cherche pas à expliquer de manière précise le processus psycho-pathologique qui a conduit une personne pleinement compensée à développer des symptômes de la lignée schizophrénique. Les explications données par le docteur W___________ ne permettent pas davantage de comprendre pourquoi il estime que l'intimée présente une incapacité totale de travailler et pourquoi la retenue exprimée par le docteur H___________ n'avait pas lieu d'être. En définitive, les conclusions auxquelles aboutit l'expert ne procèdent pas d'une discussion générale, où auraient été intégrés, dans une analyse globale cohérente, les renseignements issus du dossier, l'anamnèse, les indications subjectives et</w:t>
      </w:r>
    </w:p>
    <w:p>
      <w:r>
        <w:t>A/3028/2011 - 27/30 - l'observation clinique. La lecture de cette expertise donne bien plutôt l'impression que l'expert s'est écarté de la mission d'expertise pour se fixer comme seul objectif de trancher la querelle opposant l'office recourant et les médecins traitants de l'intimée en faveur de ces derniers. b) Conformément à l'arrêt du Tribunal fédéral précité, il convient ainsi d'ordonner une nouvelle expertise psychiatrique judiciaire, laquelle sera confiée au Dr AA__________, FMH spécialiste en psychiatrie et psychothérapie, à Genève. Pour répondre à la remarque du SMR du 12 septembre 2013, la référence à la fibromyalgie sera supprimée (question i).</w:t>
      </w:r>
    </w:p>
    <w:p>
      <w:r>
        <w:t>A/3028/2011 - 28/30 - PAR CES MOTIFS, LA CHAMBRE DES ASSURANCES SOCIALES : Statuant Préparatoirement : 1. Ordonne une expertise médicale. La confie au Dr AA__________. Dit que la mission d’expertise sera la suivante : a. Prendre connaissance du dossier de la cause. b. Si nécessaire prendre tous renseignements auprès des médecins ayant traité Mme M___________. c. Examiner Mme M___________. d. Etablir un rapport détaillé et répondre aux questions suivantes: e. Quelle est l’anamnèse détaillée du cas ? f. Quelles sont les plaintes de Mme M___________ ? g. Quelle est l’atteinte à la santé dont souffre Mme M___________ (diagnostics avec et sans répercussion sur la capacité de travail, dates d'apparition) ? h. Quel est le status détaillé et l'évolution du status depuis le début de l'atteinte ? i. Existe-t-il un diagnostic de trouble somatoforme douloureux ? ia.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ib. Existe-t-il des affections corporelles chroniques ? ic. Existe-t-il un processus maladif s’étendant sur plusieurs années, sans rémission durable ? id. Mme M___________ subit-elle une perte d’intégration sociale et, cas échéant, dans quelle mesure et de quelle manière ? ie. Existe-t-il chez Mme M___________ un état psychique cristallisé, sans évolution possible au plan thérapeutique, marquant simultanément l’échec et la libération du</w:t>
      </w:r>
    </w:p>
    <w:p>
      <w:r>
        <w:t>A/3028/2011 - 29/30 - processus de résolution du conflit psychique (profit primaire tiré de la maladie, fuite dans la maladie) ? if. Constatez-vous l’échec des traitements ambulatoires ou stationnaires conforme aux règles de l’art ? ig. Des mesures de réhabilitation seraient-elles utiles ? ih. Dans quelle mesure peut-on exiger de Mme M___________ qu’elle mette en œuvre toute sa volonté pour surmonter ses douleurs et réintégrer le monde du travail ? ii. En d’autres termes, Mme M___________ dispose-t-elle et si oui dans quelle mesure de ressources psychiques lui permettant de surmonter ses douleurs aux fins d’exercer une activité lucrative ? j. Mme M___________ suit-elle un traitement adéquat ? k. Quelles sont les limitations fonctionnelles ? l. Mme M___________ a-t-elle présenté une aggravation de son état de santé depuis juin 2006 ? Si oui, de quelle manière ? m. Quel est le pronostic ? n. Compte tenu de vos diagnostics, Mme M___________ pourrait-elle exercer une activité lucrative ? Si non, pourquoi ? Si oui, laquelle ? A quel taux ? Depuis quelle date ? Quel est votre pronostic quant à l’exigibilité de la reprise d’une activité lucrative ? En particulier l'ancienne activité d'employée d'entretien est-elle exigible ? Si non, une activité adaptée est-elle possible ? Si non ou dans une mesure restreinte, pour quels motifs ? o. Mme M___________ est-elle capable de s'occuper de son ménage ? Si non, pourquoi ? Si partiellement dans quelle mesure et pour quels motifs ? p. Etes-vous d'accord avec l'avis du Dr R___________ du 20 décembre 2007, en particulier avec les diagnostics posés ? Si non, pour quels motifs ? q. Etes-vous d'accord avec l'avis de la Dresse U___________ du SMR du 27 janvier 2011 ? Si non, pour quels motifs ? r. Etes-vous d'accord avec l'avis de la Dresse V___________ du 6 avril 2011 ? Si non, pour quels motifs ? s. Au vu du dossier, votre réponse aux questions susmentionnées aurait-elle été identique à la date de la décision rendue par l’Office cantonal de l’assurance- invalidité, soit le 31 août 2011 ? Si non, pourquoi et quelles sont les réponses qui varient ? Si oui, pourquoi ?</w:t>
      </w:r>
    </w:p>
    <w:p>
      <w:r>
        <w:t>A/3028/2011 - 30/30 - t. Des mesures de réadaptation professionnelle sont-elles envisageables ? u. Faire toutes autres observations ou suggestions utiles. 2. Réserve le sort des frais jusqu’à droit jugé au fond.</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