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ATAS/962/2011 vom 6. Oktober 2011</w:t>
      </w:r>
    </w:p>
    <w:p>
      <w:r>
        <w:t>GE Cour de justice, 2011-10-06, FR</w:t>
      </w:r>
    </w:p>
    <w:p>
      <w:r>
        <w:rPr>
          <w:b/>
        </w:rPr>
        <w:t xml:space="preserve">Quelle: </w:t>
      </w:r>
      <w:r>
        <w:t>https://mcp.opencaselaw.ch/entscheid/ge_gerichte_ATAS_962_2011</w:t>
      </w:r>
    </w:p>
    <w:p>
      <w:r>
        <w:t>FR: GE_GERICHTE ATAS/962/2011 du 6 octobre 2011</w:t>
      </w:r>
    </w:p>
    <w:p>
      <w:r>
        <w:t>IT: GE_GERICHTE ATAS/962/2011 del 6 ottobre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w:t>
      </w:r>
    </w:p>
    <w:p>
      <w:r>
        <w:t>A/4069/2010 - 8/11 -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Depuis le 1er janvier 2011, cette compétence revient à la Chambre des assurances sociales de la Cour de justice, laquelle reprend la procédure pendante devant le Tribunal cantonal des assurances sociales (art. 143 al. 6 de la LOJ du 26 septembre 2010). Sa compétence à raison de la matière pour juger du cas d’espèce est ainsi donnée, que le contrat d’assurance perte de gain, à la base du présent litige, soit régi par la LCA ou la LAMal.</w:t>
      </w:r>
    </w:p>
    <w:p>
      <w:r>
        <w:rPr>
          <w:b/>
        </w:rPr>
        <w:t>E. 2</w:t>
      </w:r>
    </w:p>
    <w:p>
      <w:r>
        <w:t>Le litige porte sur le montant des indemnités journalières dues au demandeur du 24 février 2000 au 17 février 2001. Il convient cependant de déterminer, en premier lieu, si le contrat d’assurance perte de gain liant les parties est soumis aux dispositions de la LCA ou à celles de la LAMal. En effet, les dispositions applicables quant à la procédure et au fond dépendent de la qualification du contrat litigieux.</w:t>
      </w:r>
    </w:p>
    <w:p>
      <w:r>
        <w:rPr>
          <w:b/>
        </w:rPr>
        <w:t>E. 3</w:t>
      </w:r>
    </w:p>
    <w:p>
      <w:r>
        <w:t>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(cf. ATF non publiés 4A_563/2008 du 10 février 2009, consid. 1, et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w:t>
      </w:r>
    </w:p>
    <w:p>
      <w:r>
        <w:t>A/4069/2010 - 9/11 - la Société suisse de droit des assurances, Lausanne 1997 [cité ci-après : LAMal- KVG], p. 741; KIESER, Die Stellung der Nichterwerbstätigen in der freiwilligen Taggeldversicherung [Artikel 67 ff. KVG], in : LAMal-KVG, p. 613; MAURER, Das neue Krankenversicherungsrecht, Bâle/Francfort-sur-le-Main 1996, p. 113; EUGSTER, Zum Leistungsrecht der Taggeldversicherungnach KVG, in : LAMal- KVG, p. 551). Dans un tel cas, les dispositions de la loi fédérale sur la partie générale du droit des assurances sociales, du 6 octobre 2000 (LPGA ; RS 830.1) trouvent application (art. 1 LAMal ; cf. également ATF non publié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(RCC 1988 p. 487 consid. 3b). Le droit à des prestations arriérées s’éteint cinq ans après la fin du mois pour lequel la prestation était due et cinq ans après la fin de l’année civile pour laquelle la cotisation devait être payée (art. 24 al. 1 LPGA). Pour sauvegarder ce délai de péremption de cinq ans, l’assuré doit uniquement avoir fait sa demande de prestations auprès de l’assureur (KIESER, ATSG-Kommentar, édition 2009, p. 345, no 20 ad art. 24).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(cf. not ATF non publié 4A_563/2008 du 10 février 2009, consid. 2). Toutefois, les créances qui dérivent du contrat d'assurance se prescrivent par deux ans à dater du fait d'où naît l'obligation, ce eu égard à l'art. 46 LCA.</w:t>
      </w:r>
    </w:p>
    <w:p>
      <w:r>
        <w:rPr>
          <w:b/>
        </w:rPr>
        <w:t>E. 4</w:t>
      </w:r>
    </w:p>
    <w:p>
      <w:r>
        <w:t>a) En l’espèce, le demandeur soutient que le contrat d’assurance le liant à la défenderesse était soumis à la LCA. Il produit à l’appui de sa demande :</w:t>
      </w:r>
    </w:p>
    <w:p>
      <w:r>
        <w:t>A/4069/2010 - 10/11 - - des certificats d’assurance des années 1999 à 2001, se référant à des contrats collectifs nos 2242.0 et 2242.1, conclus avec la Fédération des entreprises romandes (FER) ; il résulte desdits certificats que le demandeur était le preneur d’assurance et qu’il s’agissait d’une assurance « selon la loi fédérale sur l’assurance-maladie (LAMal) » (pièces 18 à 20 demandeur) ; - les conditions particulières de l’assurance collective d’une indemnité journalière, catégorie BE, faisant notamment référence aux art. 69 al. 2 et 74 al. 2 LAMal (art. 10 ch. 5 et 18 ch. 4 des conditions) (pièce 17 demandeur). Le demandeur estime en revanche que le contrat-cadre « Assurance maladie collective Indemnité journalière » no 1.200./6, conclu entre la défenderesse et divers syndicats et entré en vigueur le 1er janvier 1999, ne lui est pas applicable. b) Si la question de savoir si ledit contrat-cadre s’applique entre les parties peut rester ouverte, force est de constater que les certificats d’assurance et les conditions particulières précités se réfèrent expressément à la LAMal, de sorte qu’il ne fait aucun doute que l’assurance perte de gain conclue entre les parties est bien soumise à cette loi et non à la LCA, laquelle n’est nullement mentionnée dans les différents documents transmis par les parties à la Cour de céans. Cette conclusion est confirmée par le fait que des décisions et décisions sur opposition ont déjà été rendues par la défenderesse en relation avec les prétentions du demandeur, que les arrêts du Tribunal administratif du 25 mars 2003 et du Tribunal cantonal des assurances sociales du 8 mars 2007 font application de la LAMal et que les parties ont expressément déterminé, à plusieurs reprises, que l’assurance d’indemnités journalières était fondée sur la LAMal (cf. not. pièces 28, 29 et 31 défenderesse). b) Partant, dans la mesure où le contrat d’assurance conclu par la défenderesse est soumis à la LAMal, le demandeur n’est pas légitimé à saisir la Cour de céans d’une demande en paiement. En effet, il lui incombe de solliciter de la défenderesse une décision formelle soumise à opposition, puis cas échéant, une décision sur opposition, avant de saisir la Cour de céans. La demande en paiement déposée par le demandeur en date du 26 novembre 2010 doit ainsi être déclarée irrecevable, la Cour de céans n’étant pas compétente pour trancher un tel litige en l’absence de décision et de décision sur opposition.</w:t>
      </w:r>
    </w:p>
    <w:p>
      <w:r>
        <w:rPr>
          <w:b/>
        </w:rPr>
        <w:t>E. 5</w:t>
      </w:r>
    </w:p>
    <w:p>
      <w:r>
        <w:t>Pour le surplus, la procédure est gratuite (art. 89H al. 1 LPA).</w:t>
      </w:r>
    </w:p>
    <w:p>
      <w:r>
        <w:t>A/4069/2010 - 11/11 -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