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ATAS/961/2015 vom 15. Dezember 2015</w:t>
      </w:r>
    </w:p>
    <w:p>
      <w:r>
        <w:t>GE Cour de justice, 2015-12-15, FR</w:t>
      </w:r>
    </w:p>
    <w:p>
      <w:r>
        <w:rPr>
          <w:b/>
        </w:rPr>
        <w:t xml:space="preserve">Quelle: </w:t>
      </w:r>
      <w:r>
        <w:t>https://mcp.opencaselaw.ch/entscheid/ge_gerichte_ATAS_961_2015</w:t>
      </w:r>
    </w:p>
    <w:p>
      <w:r>
        <w:t>FR: GE_GERICHTE ATAS/961/2015 du 15 décembre 2015</w:t>
      </w:r>
    </w:p>
    <w:p>
      <w:r>
        <w:t>IT: GE_GERICHTE ATAS/961/2015 del 15 dicembre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A/1870/2015 - 9/18 -</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56ss et 38 al. 1 LPGA).</w:t>
      </w:r>
    </w:p>
    <w:p>
      <w:r>
        <w:rPr>
          <w:b/>
        </w:rPr>
        <w:t>E. 4.2</w:t>
      </w:r>
    </w:p>
    <w:p>
      <w:r>
        <w:t>;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w:t>
      </w:r>
    </w:p>
    <w:p>
      <w:r>
        <w:t>A/1870/2015 - 12/18 -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Le litige porte sur la question du droit aux prestations du recourant, en particulier sur son degré d’invalidité et la méthode pour l’évaluer.</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w:t>
      </w:r>
    </w:p>
    <w:p>
      <w:r>
        <w:t>A/1870/2015 - 10/18 -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(art.</w:t>
      </w:r>
    </w:p>
    <w:p>
      <w:r>
        <w:t>A/1870/2015 - 11/18 - 28a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Pour satisfaire à l'obligation de réduire le dommage (ATF 129 V 463 consid.</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En l’espèce, l’intimé considère que, sans atteinte à la santé, le recourant aurait exercé son activité professionnelle à 75%, consacrant le reste de son temps, soit 25%, à la tenue de son ménage. Il se fonde pour cela sur le taux d’activité du recourant avant que sa sclérose en plaques ne soit diagnostiquée et sur ses déclarations lors de l’enquête ménagère. Quant au recourant, il soutient que, sans son atteinte à la santé, il aurait travaillé à plein temps. Selon lui, son taux d’activité avait fluctué dès 2004, en raison d’une fatigue importante en lien avec sa maladie. Pour le surplus, il conteste avoir déclaré à l’enquêtrice qu’il aurait travaillé à 75%, sans son atteinte à la santé. En l’occurrence, le recourant est âgé de 44 ans, célibataire et sans enfant. Il habite avec son amie, avec qui il est en couple depuis trois ans. Il a obtenu une licence en psychologie en 1995, un brevet ès lettres en histoire générale et nationale en 2002, un certificat de réflexologie en 2004 et un baccalauréat universitaire ès lettres en 2007. Dès le 1er novembre 1999, il a travaillé pour le compte des C______ en qualité de socio-éducateur à plein temps, à 90% à compter du 1er janvier 2004, à</w:t>
      </w:r>
    </w:p>
    <w:p>
      <w:r>
        <w:t>A/1870/2015 - 13/18 - 60% à partir du 1er avril 2007, puis à 75% depuis le 1er juin 2008. Dès cette date, le recourant a perçu un revenu mensuel, incluant le traitement de base et les diverses primes, compris entre CHF 5'700.- et CHF 6’700.-, auquel s’ajoutait un treizième salaire. Sa sclérose en plaques a été diagnostiquée le 7 octobre 2008. Suite aux mesures professionnelles mises en œuvre courant 2011, le recourant a été engagé par les C______ en tant que conseiller en insertion à 75% pour un salaire mensuel compris entre CHF 6'000.- et CHF 6'368.40. Enfin, lors de l’enquête ménagère du 21 janvier 2015, le recourant a déclaré à l’enquêtrice que, sans atteinte à la santé, il aurait exercé la profession de socio-éducateur à 75%. Compte tenu de ces éléments et en particulier des déclarations du recourant à l’enquêtrice, il apparaît que, sans sa sclérose en plaques, ce dernier aurait continué à travailler à 75%. En outre, sa situation personnelle et financière ne lui commandait pas de prendre un emploi à plein temps. S’il est vrai que le recourant a commencé sa carrière au sein des C______ à plein temps, il apparaît qu’il a réduit son taux d’activité dès 2004, soit plusieurs années avant que sa sclérose en plaques ne soit diagnostiquée. De plus, les modifications de son taux d’activité en 2004 et 2007 coïncident avec ses périodes de formations. Les fatigues importantes invoquées par l’assuré pour justifier les variations de son taux d’activité ne constituent en réalité qu’une possibilité, laquelle n’est pas rendue suffisamment vraisemblable pour emporter la conviction de la chambre de céans, faute d’éléments objectifs allant dans ce sens. Le fait est que ni le Dr E______ dans son attestation du 22 juin 2015, ni le Dr D______ dans son certificat du 6 juillet 2015 ne permettent de considérer que les variations du taux d’activité du recourant sont à mettre sur le compte de la maladie. Au contraire, le Dr E______ ne fait que confirmer que le taux d’activité a été réduit à 75%, en raison de la maladie, dès sa découverte en octobre 2008, soit plusieurs mois après que le recourant ait modifié son taux d’activité à 60, puis 75%. Quant aux explications du Dr D______ relatives à l’état de santé du recourant avant le mois d’octobre 2008, elles sont évasives et ne reposent sur aucune base objective. Enfin, les allégations du recourant quant au fait que l’enquêtrice aurait inscrit unilatéralement au rapport son intention de travailler à 75% ne sont pas vraisemblables et ne sont démontrées par aucun élément de preuve. En tout état de cause, il convient de relever que le fait que le recourant soutienne que, sans atteinte à la santé, il aurait travaillé à plein temps, est contradictoire avec ses déclarations lors de l’enquête ménagère. Or, à la lumière de la jurisprudence du Tribunal fédéral,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Ainsi, l’intimé était fondé à considérer que, sans atteinte à la santé, le recourant aurait travaillé à 75%, consacrant le reste de son temps (25%) à sa sphère ménagère, et à déterminer le degré d’invalidité au moyen de la méthode mixte.</w:t>
      </w:r>
    </w:p>
    <w:p>
      <w:r>
        <w:t>A/1870/2015 - 14/18 -</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particulier, dans le cadre d'une révision de la rente selon l'art. 17 LPGA, la tâche du médecin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w:t>
      </w:r>
    </w:p>
    <w:p>
      <w:r>
        <w:t>A/1870/2015 - 15/18 -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a) À titre liminaire, la chambre de céans relève que le dossier de la procédure contient suffisamment d’éléments pour lui permettre de trancher le litige qui lui est soumis. En effet, ni la comparution personnelle des parties, ni l’audition du Dr D______ requises par le recourant ne sont nécessaires à la résolution du litige, leur point de vue étant déjà connu de la chambre de céans. Par conséquent, les demandes d’instructions du recourant doivent être rejetées. b) En l’espèce, l’intimé considère que le degré d’invalidité du recourant se monte à 25%, soit 19% dans la sphère professionnelle (capacité de travail de 75% de 75% : 56% et 7% dans la sphère ménagère). Un tel degré d’invalidité est insuffisant pour ouvrir le droit à une rente d’invalidité. Quant aux éventuelles mesures professionnelles, elles ont déjà été mises en œuvre et ont permis au recourant de trouver un emploi dans une activité adaptée à ses limitations fonctionnelles, au même taux d’activité qu’avant l’atteinte à la santé. Il fonde son appréciation sur les rapports des Drs E______ et D______ établis en 2014, ainsi que sur l’avis du SMR y relatif. Le recourant estime pour sa part que son état s’est fortement dégradé en septembre 2014, soit au moment du dépôt de sa seconde demande de prestation, à la lumière</w:t>
      </w:r>
    </w:p>
    <w:p>
      <w:r>
        <w:t>A/1870/2015 - 16/18 - des rapports des Drs E______ et D______. À ce jour, il travaille à 50%, de sorte que son degré d’invalidité s’élevait à 50%. c) En premier lieu, il convient de relever que le résultat du calcul du degré d’invalidité effectué par l’intimé est erroné. En effet, en retenant une invalidité de 19% dans la sphère professionnelle et de 7% dans la sphère ménagère, l’intimé aurait dû fixer le degré d’invalidité global du recourant à 26% et non 25%. Toutefois, cette erreur ne porte pas à conséquence, compte tenu des développements ci-après. d) S’agissant du fond du litige, il apparaît en réalité que les parties ne divergent pas sur la capacité de travail résiduelle du recourant, puisque l’intimé retient une capacité de travail de 56%, sur la base des rapports des médecins traitants du recourant. En effet, tant le Dr E______ dans son rapport du 6 octobre 2014 que le Dr D______ dans son rapport du 13 octobre 2014 ont retenu une capacité de travail de 75% de son taux habituel d’activité de 75%, ce qui correspond à une capacité de travail de 56%. Ainsi, la différence de position des parties quant au degré d’invalidité du recourant a pour seule origine la méthode de calcul utilisée, puisque le degré d’invalidité du recourant s’élèverait à 44% (100% - 56%) si la méthode ordinaire de calcul était appliquée au cas d’espèce. Cela étant, comme exposé précédemment (voir supra consid. 11), le recourant présente un statut qui justifie l’emploi de la méthode mixte pour déterminer son degré d’invalidité. À ce propos, il convient de relever que le recourant ne conteste, à juste titre, ni le contenu de l’enquête ménagère – à l’exception de ses déclarations quant à son taux d’activité s’il n’avait pas présenté une atteinte à la santé (voir supra consid. 11) – ni les conclusions de l’enquêtrice ou le calcul de son empêchement dans la sphère ménagère. Dès lors, il n’existe aucun motif de s’écarter de l’appréciation de l’intimé et d’annuler la décision querellée. Enfin, la teneur du certificat du 6 juillet 2015 établi par le Dr D______ n’a aucune incidence sur l’issue du litige. Dans ce document, le médecin traitant indique qu’à la suite des mesures professionnelles mise en œuvre par l’intimé, le recourant avait souhaité travailler à 75%, avec beaucoup de courage. Cependant, sa capacité de travail n’excédait pas 50%, déjà avant l’année 2008. Outre le fait que ce certificat a été établi postérieurement à la décision querellée, force est de constater que les conclusions du Dr D______ ne sont pas motivées en suffisance. En effet, le médecin traitant du recourant ne fait état d’aucun élément objectif permettant de considérer que le recourant présentait une incapacité de travail de 50% déjà avant 2008. De plus, ledit certificat est en contradiction avec l’ensemble du dossier, et en particulier avec ses rapports précédents. e) Au vu de ce qui précède, le recourant présente un degré d’invalidité de 26%. Dans la mesure où son activité habituelle à taux réduit est adaptée à son état de santé, compte tenu des mesures professionnelles dont il a bénéficié, de sa formation, de son expérience, de son parcours professionnel et du fait qu’une</w:t>
      </w:r>
    </w:p>
    <w:p>
      <w:r>
        <w:t>A/1870/2015 - 17/18 - activité sédentaire lui est indispensable, aucune mesure professionnelle ne semble en l’état nécessaire.</w:t>
      </w:r>
    </w:p>
    <w:p>
      <w:r>
        <w:rPr>
          <w:b/>
        </w:rPr>
        <w:t>E. 15</w:t>
      </w:r>
    </w:p>
    <w:p>
      <w:r>
        <w:t>Mal fondé, le recours doit être rejeté. Etant donné que depuis le 1er juillet 2006, la procédure n'est plus gratuite (art. 69 al. 1bis LAI), il y a lieu de condamner le recourant au paiement d'un émolument de CHF 200.-.</w:t>
      </w:r>
    </w:p>
    <w:p>
      <w:r>
        <w:t>A/1870/2015 - 18/18 -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