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ATAS/961/2011 vom 29. September 2011</w:t>
      </w:r>
    </w:p>
    <w:p>
      <w:r>
        <w:t>GE Cour de justice, 2011-09-29, FR</w:t>
      </w:r>
    </w:p>
    <w:p>
      <w:r>
        <w:rPr>
          <w:b/>
        </w:rPr>
        <w:t xml:space="preserve">Quelle: </w:t>
      </w:r>
      <w:r>
        <w:t>https://mcp.opencaselaw.ch/entscheid/ge_gerichte_ATAS_961_2011</w:t>
      </w:r>
    </w:p>
    <w:p>
      <w:r>
        <w:t>FR: GE_GERICHTE ATAS/961/2011 du 29 septembre 2011</w:t>
      </w:r>
    </w:p>
    <w:p>
      <w:r>
        <w:t>IT: GE_GERICHTE ATAS/961/2011 del 29 settembre 2011</w:t>
      </w:r>
    </w:p>
    <w:p>
      <w:pPr>
        <w:pStyle w:val="Heading2"/>
      </w:pPr>
      <w:r>
        <w:t>Erwägungen</w:t>
      </w:r>
    </w:p>
    <w:p>
      <w:r>
        <w:rPr>
          <w:b/>
        </w:rPr>
        <w:t>E. 1</w:t>
      </w:r>
    </w:p>
    <w:p>
      <w:r>
        <w:t>Conformément à l'art. 56V al. 1 let. a ch. 2 de la loi genevoise sur l'organisation judiciaire, du 22 novembre 1941 en vigueur jusqu’au 31 décembre 2010 (aLOJ) le Tribunal cantonal des assurances sociales connaissait, en instance unique, des contestations prévues à l’article 56 de la loi fédérale sur la partie générale du droit des assurances sociales du 6 octobre 2000 (LPGA) relatives à la loi fédérale sur l’assurance-invalidité du 19 juin 1959 (LAI).</w:t>
      </w:r>
    </w:p>
    <w:p>
      <w:r>
        <w:t>Dès le 1er janvier 2011, cette compétence revient à la Chambre des assurances sociales de la Cour de justice, laquelle reprend la procédure pendante devant la Tribunal cantonal des assurances sociales (art. 143 al. de la LOJ du 26 septembre 2010).</w:t>
      </w:r>
    </w:p>
    <w:p>
      <w:r>
        <w:t>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 ATF 127 V 467, consid. 1 et les références)</w:t>
      </w:r>
    </w:p>
    <w:p>
      <w:r>
        <w:t>La décision litigieuse date du 4 décembre 2009 et porte sur des prestations dues dès le 1er février 2010, soit après l’entrée en vigueur de la LPGA et l’entrée en vigueur, le 1er janvier 2004, des modifications de la loi fédérale sur l’assurance- invalidité du 21 mars 2003 (4ème révision) et, le 1er janvier 2008, des modifications de la loi sur l’assurance-invalidité du 6 octobre 2006 (5ème révision). Partant, du point de vue matériel, la modification du droit à une rente d’invalidité doit être</w:t>
      </w:r>
    </w:p>
    <w:p>
      <w:r>
        <w:t>A/200/2010 - 8/11 - examinée au regard des dispositions de la LPGA et des modifications de la LAI consécutives à la 5ème révision, dans la mesure de leur pertinence (ATF 130 V 445 et les références ; voir également ATF 130 V 329).</w:t>
      </w:r>
    </w:p>
    <w:p>
      <w:r>
        <w:t>En ce qui concerne la procédure, et à défaut de règles transitoires contraires, le nouveau droit s’applique sans réserve dès le jour de son entrée en vigueur (ATF 117 V consid. 6b, 112 V 360 consid. 4a ; RAMA 1998 KV 37 p. 316 consid. 3b)</w:t>
      </w:r>
    </w:p>
    <w:p>
      <w:r>
        <w:t>Interjeté dans les forme et délai prévus par la loi, le recours est recevable (art. 56 à 60 LPGA).</w:t>
      </w:r>
    </w:p>
    <w:p>
      <w:r>
        <w:rPr>
          <w:b/>
        </w:rPr>
        <w:t>E. 3</w:t>
      </w:r>
    </w:p>
    <w:p>
      <w:r>
        <w:t>Est litigieuse la question de savoir si les troubles présentés par la recourante, sur le plan psychiatrique, constituent une invalidité au sens de l’AI engendrant une incapacité totale de gain et si, de ce fait, elle a droit au versement d’une rente d’invalidité.</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C___________.</w:t>
      </w:r>
    </w:p>
    <w:p>
      <w:r>
        <w:rPr>
          <w:b/>
        </w:rPr>
        <w:t>E. 5</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w:t>
      </w:r>
    </w:p>
    <w:p>
      <w:r>
        <w:rPr>
          <w:b/>
        </w:rPr>
        <w:t>E. 6</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t>A/200/2010 - 9/11 -</w:t>
      </w:r>
    </w:p>
    <w:p>
      <w:r>
        <w:rPr>
          <w:b/>
        </w:rPr>
        <w:t>E. 7</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rPr>
          <w:b/>
        </w:rPr>
        <w:t>E. 8</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9</w:t>
      </w:r>
    </w:p>
    <w:p>
      <w:r>
        <w:t>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10.. En l'espèce, la Cour constate que les doutes émis par la recourante au sujet de la valeur probante de l’examen clinique du SMR du 29 juin 2009 effectué par le Dr P___________, sur lequel se base notamment l’OAI, étaient pleinement justifiées. En effet, l’examen clinique du SMR mentionné ci-dessus conclut à une capacité de 100% aussi bien dans l’activité habituelle que dans une activité adaptée alors que, selon le Dr L___________ et le Dr N___________, médecins traitants, l’incapacité de travail de la recourante est de 100% en raison notamment de stress post-traumatique et de trouble dépressif. Les conclusions de ces derniers médecins</w:t>
      </w:r>
    </w:p>
    <w:p>
      <w:r>
        <w:t>A/200/2010 - 10/11 - ont été confirmées par l’expertise du Dr O___________. Il sied de constater que cette expertise se fonde sur des examens complets, prenant en considération les plaintes exprimées par l’expertisée et les dires de son mari et est établi en pleine connaissance de l’anamnèse et du contexte médical et une appréciation claires avec des conclusions dûment motivées. Cette expertise qui expose clairement les raisons de l’écart avec l’avis du Dr P___________ et conclut notamment à une incapacité de travail à 100%, actuellement et pour une longue durée, remplit tous les réquisits pour lui octroyer pleine valeur probante.</w:t>
      </w:r>
    </w:p>
    <w:p>
      <w:r>
        <w:rPr>
          <w:b/>
        </w:rPr>
        <w:t>E. 11</w:t>
      </w:r>
    </w:p>
    <w:p>
      <w:r>
        <w:t>De plus, La Cour retiendra en particulier que, se prononçant sur le contenu de l’expertise du Dr O___________ en date du 20 avril 2011, l’intimé s’est clairement exprimé au sujet de la situation de la recourante en concluant à l’annulation de la décision de suppression de rente du 4 décembre 2009 et le maintien du droit au versement d’une rente entière en faveur de la recourante. Dès lors, la Cour prend acte du fait que l’OAI a conclu à l’annulation de la décision du 4 décembre 2009 et l’y condamne en tant que de besoin.</w:t>
      </w:r>
    </w:p>
    <w:p>
      <w:r>
        <w:rPr>
          <w:b/>
        </w:rPr>
        <w:t>E. 12</w:t>
      </w:r>
    </w:p>
    <w:p>
      <w:r>
        <w:t>En conséquence, le recours du 21 janvier 2010 est admis, la décision de suppression de rente du 4 décembre 2009 sera annulée et le droit au versement d’une rente entière maintenu dès le 1er février 2010.</w:t>
      </w:r>
    </w:p>
    <w:p>
      <w:r>
        <w:rPr>
          <w:b/>
        </w:rPr>
        <w:t>E. 13</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modifica6tion du 16 décembre 2005)-</w:t>
      </w:r>
    </w:p>
    <w:p>
      <w:r>
        <w:t>Un émolument de 300 fr. sera ainsi mis à la charge de l’intimé qui succombe (art. 69 1bis LAI), ainsi qu’une indemnité de 2'000 fr. en faveur de la recourante, au vu du nombre d’actes, d’audiences et d’écritures complémentaires.</w:t>
      </w:r>
    </w:p>
    <w:p>
      <w:r>
        <w:t>A/200/2010 - 11/11 - PAR CES MOTIFS, LA CHAMBRE DES ASSURANCES SOCIALES : Statuant A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