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ATAS/960/2025 vom 8. Dezember 2025</w:t>
      </w:r>
    </w:p>
    <w:p>
      <w:r>
        <w:t>GE Cour de justice, 2025-12-08, FR</w:t>
      </w:r>
    </w:p>
    <w:p>
      <w:r>
        <w:rPr>
          <w:b/>
        </w:rPr>
        <w:t xml:space="preserve">Quelle: </w:t>
      </w:r>
      <w:r>
        <w:t>https://mcp.opencaselaw.ch/entscheid/ge_gerichte_ATAS_960_2025</w:t>
      </w:r>
    </w:p>
    <w:p>
      <w:r>
        <w:t>FR: GE_GERICHTE ATAS/960/2025 du 8 décembre 2025</w:t>
      </w:r>
    </w:p>
    <w:p>
      <w:r>
        <w:t>IT: GE_GERICHTE ATAS/960/2025 del 8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A/2840/2024 - 7/26 - 2000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délai de recours est de trente jours (art. 60 LPGA ; art. 62 al. 1 de la loi sur la procédure administrative du 12 septembre 1985 - LPA - E 5 10). Interjeté dans la forme et le délai prévus par la loi, compte tenu de la suspension des délais pour la période du 15 juillet au 15 août inclusivement (art. 38 al. 4 let. b LPGA et art. 89C let. b LPA), le recours est recevable.</w:t>
      </w:r>
    </w:p>
    <w:p>
      <w:r>
        <w:rPr>
          <w:b/>
        </w:rPr>
        <w:t>E. 2</w:t>
      </w:r>
    </w:p>
    <w:p>
      <w:r>
        <w:t>Le recourant conteste, tout d’abord, la stabilisation de son état de santé.</w:t>
      </w:r>
    </w:p>
    <w:p>
      <w:r>
        <w:rPr>
          <w:b/>
        </w:rPr>
        <w:t>E. 2.1</w:t>
      </w:r>
    </w:p>
    <w:p>
      <w:r>
        <w:t>En cas d’atteinte à la santé due à un accident, l’assureur-accidents prend en charge les prestations suivantes : le traitement médical (art. 10 ss LAA), les indemnités journalières (art. 16 ss LAA), la rente d’invalidité (art. 18 ss LAA) et l’indemnité pour atteinte à l’intégrité (art. 24 s. LAA). L'assuré a droit au traitement médical approprié des lésions résultant de l'accident (art. 10 al. 1 LAA). L’assuré totalement ou partiellement incapable de travailler (art. 6 LPGA) à la suite d’un accident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Si par suite d'un accident, l'assuré souffre d'une atteinte importante et durable à son intégrité physique, mentale ou psychique, il a droit à une indemnité équitable pour atteinte à l'intégrité (art. 24 al. 1 LAA). L'indemnité est fixée en même temps que la rente d'invalidité ou, si l'assuré ne peut prétendre une rente, lorsque le traitement médical est terminé (art. 24 al. 2 1re phr. LAA).</w:t>
      </w:r>
    </w:p>
    <w:p>
      <w:r>
        <w:rPr>
          <w:b/>
        </w:rPr>
        <w:t>E. 2.2</w:t>
      </w:r>
    </w:p>
    <w:p>
      <w:r>
        <w:t>Le traitement médical et les indemnités journalières appartiennent, selon la jurisprudence fédérale, aux prestations temporaires (ATF 134 V 109 consid. 4.1 ; 133 V 57 consid. 6.6 et 6.7). La limite temporelle de la prise en charge, par l’assureur-accidents, de ces prestations temporaires (traitement et indemnités journalières) ressort de l’art. 19 LAA relatif aux rentes d’invalidité, qui, pour autant que les conditions soient remplies, prennent le relais des prestations temporaires (ATF 134 V 109</w:t>
      </w:r>
    </w:p>
    <w:p>
      <w:r>
        <w:t>A/2840/2024 - 8/26 - consid. 4.1 ; arrêt du Tribunal fédéral U 391/00 du 9 mai 2001 consid. 2a). À teneur de cette disposition (al. 1 1re phr.), le droit à la rente prend naissance dès qu'il n'y a plus lieu d'attendre de la continuation du traitement médical une sensible amélioration de l'état de l'assuré et que les éventuelles mesures de réadaptation de l'assurance-invalidité ont été menées à terme. Il en va de même des indemnités journalières conformément à l’art. 16 al. 2 LAA, lequel stipule que le droit à l’indemnité s’éteint dès qu’une rente est versée. La naissance du droit à la rente supprime ainsi la prise en charge du traitement médical et le versement d’indemnités journalières (ATF 134 V 109 consid. 4.1). Le droit à la prise en charge du traitement médical et au versement des indemnités journalières cesse donc dès la naissance du droit à la rente au sens de l'art. 19 al. 1 LAA (art. 16 al. 2 LAA et art. 19 al. 1 2e phr.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(arrêt du Tribunal fédéral 8C_1023/2008 du 1er décembre 2009 et les références citées).</w:t>
      </w:r>
    </w:p>
    <w:p>
      <w:r>
        <w:rPr>
          <w:b/>
        </w:rPr>
        <w:t>E. 2.3</w:t>
      </w:r>
    </w:p>
    <w:p>
      <w:r>
        <w:t>Savoir ce que signifie une sensible amélioration de l'état de l'assuré (« namhaften Besserung des Gesundheitszustandes des Versicherten » ; « un sensibile miglioramento della salute dell'assicurato ») au sens de l’art. 19 al. 1 LAA n'est pas précisé par le texte légal. Le concept de l'assurance-accidents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arrêts du Tribunal fédéral U 244/04 du 20 mai 2005 et U 412/00 du 5 juillet 2001). L’amélioration sensible doit découler de la continuation du traitement médical (arrêt du Tribunal fédéral 8C_188/2010 du 22 novembre 2010 consid. 3.2). Cette condition n'est pas remplie en ce qui concerne les contrôles médicaux, la prise de médicaments et les traitements de thérapie manuelle (arrêt du Tribunal fédéral 8C_306/2016 du 22 septembre 2016 consid. 5.3). Le simple fait qu'un traitement médical continue à être nécessaire ne suffit pas non plus en soi (arrêt du Tribunal fédéral 8C_ 956/2009 du 9 mars 2010 consid. 4.1.2). Ainsi, ni la simple possibilité qu'un traitement médical donne des résultats positifs, ni l'avancée minime que l'on peut attendre d'une mesure thérapeutique ne confèrent à un assuré le droit de recevoir de tels soins (arrêt du Tribunal fédéral U 244/04 du 20 mai 2005 consid. 2). En matière de physiothérapie, le Tribunal fédéral a précisé que le bénéfice que peut amener la physiothérapie ne fait pas obstacle à la clôture du cas (arrêt du Tribunal fédéral 8C_39/2018 du 11 juillet 2018 et les références).</w:t>
      </w:r>
    </w:p>
    <w:p>
      <w:r>
        <w:t>A/2840/2024 - 9/26 - Lorsque la personne assurée a une capacité de travail limitée dans son activité habituelle mais dispose d’une pleine capacité de travail dans une activité adaptée aux limitations fonctionnelles retenues, le cas doit en règle générale être clos, même si la poursuite du traitement médical permet de prévenir une éventuelle péjoration (arrêt du Tribunal fédéral 8C_14/2010 du 4 août 2010 consid. 3). Dans ce contexte, l'état de santé de la personne assurée doit être évalué de manière prévisionnelle et non rétrospective (arrêts du Tribunal fédéral 8C_418/2023 du 29 mai 2024 consid. 3.2 ; 8C_142/2017 consid. 4 et les arrêts cités), c'est-à-dire à la lumière des circonstances qui prévalaient au moment de la clôture du cas (arrêts du Tribunal fédéral 8C_142/2017 du 7 septembre 2017 consid. 4 ; 8C_83/2017 du 11 décembre 2017 consid. 4.3 ; 8C_651/2016 du 15 décembre 2016 consid. 4.1 ; ATAS/716/2022 du 18 août 2022 consid. 7 ; ATAS/316/2022 du 5 avril 2022 consid. 7.3). Cela a pour conséquence que des rapports médicaux établis postérieurement à la clôture du cas ne sont pas pertinents (arrêts du Tribunal fédéral 8C_528/2022 du 17 novembre 2022 consid. 7.4 ; 8C_299/2022 du</w:t>
      </w:r>
    </w:p>
    <w:p>
      <w:r>
        <w:rPr>
          <w:b/>
        </w:rPr>
        <w:t>E. 2.4</w:t>
      </w:r>
    </w:p>
    <w:p>
      <w:r>
        <w:t>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133 V 57 consid. 6.6.2 ; 128 V 169 consid. 1 ; 116 V 41 consid. 2c). 3. 3.1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3.2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A/2840/2024 - 10/26 -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 125 V 351 consid. 3). 3.3 Sans remettre en cause le principe de la libre appréciation des preuves, le Tribunal fédéral a posé des lignes directrices en ce qui concerne la manière d'apprécier certains types d'expertises ou de rapports médicaux (ATF 125 V 351 consid. 3b). 3.3.1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123 V 175 consid. 3d ; 125 V 351 consid. 3b.ee ; 135 V 465 consid. 4.4 ; arrêt du Tribunal fédéral 8C_588/2015 du 17 décembre 2015 consid. 2).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3.3.2 Une appréciation médicale, respectivement une expertise médicale établie sur la base d'un dossier n’est pas en soi sans valeur probante. Une expertise médicale établie sur la base d'un dossier peut avoir valeur probante pour autant</w:t>
      </w:r>
    </w:p>
    <w:p>
      <w:r>
        <w:t>A/2840/2024 - 11/26 -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3.3.3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 4.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4.2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w:t>
      </w:r>
    </w:p>
    <w:p>
      <w:r>
        <w:t>A/2840/2024 - 12/26 - (ATF 117 V 283 consid. 4a ; RAMA 1985 p. 240 consid. 4 ; arrêt du Tribunal fédéral I 751/03 du 19 mars 2004 consid. 3.3). Lorsque le juge des assurances sociales constate qu'une instruction est nécessaire, il doit en principe mettre lui- 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de l'ancienne Constitution fédérale du 29 mai 1874 (aCst.) étant toujours valable (ATF 124 V 90 consid. 4b ; 122 V 157 consid. 1d).</w:t>
      </w:r>
    </w:p>
    <w:p>
      <w:r>
        <w:rPr>
          <w:b/>
        </w:rPr>
        <w:t>E. 5</w:t>
      </w:r>
    </w:p>
    <w:p>
      <w:r>
        <w:t>septembre 2022 consid. 5 et les références). Les renseignements médicaux relatifs aux possibilités thérapeutiques et à l’évolution de l’état de santé, généralement saisis sous la notion de pronostic constituent en premier lieu la base de l’appréciation de cette question de droit (arrêt du Tribunal fédéral 8C_528/2022 du 17 novembre 2022 consid. 7.1 et les références citées).</w:t>
      </w:r>
    </w:p>
    <w:p>
      <w:r>
        <w:rPr>
          <w:b/>
        </w:rPr>
        <w:t>E. 5.1</w:t>
      </w:r>
    </w:p>
    <w:p>
      <w:r>
        <w:t>En l’espèce, il y a lieu de rappeler, préalablement, qu’à la suite d’une chute survenue le 25 mars 2022, le recourant a souffert des atteintes suivantes : - pied gauche : fracture du calcanéum gauche de type Sanders IV associée à une fracture de la malléole externe de type Weber A ; ostéosynthèse le 6 avril 2022 ; ablation du matériel d’ostéosynthèse le 10 mai 2023. Selon les médecins consultés par l’intimée, en janvier 2024, l’assuré présentait une arthrose sous-talienne modérée (rapport de la Dre D______ du 25 janvier 2024 et appréciation de la Dre E______ du 31 janvier 2024), laquelle était susceptible d’évoluer, à moyen terme, vers une arthrose sous-talienne sévère, pouvant nécessiter une arthrodèse sous-talienne in situ (appréciation de la Dre E______ du 31 janvier 2024) ; - pied droit : fracture du calcanéum droit de type Sanders III, laquelle a été traitée conservativement. Les médecins consultés par l’intimée ont constaté que l’assuré présentait une arthrose sous-talienne débutante (rapport de la Dre D______ du 25 janvier 2024) et que le risque d’une évolution vers une arthrose sévère paraissait faible (appréciation de la Dre E______ du 31 janvier 2024). Le 12 janvier 2024, les médecins des HUG, lesquels assuraient le suivi du recourant, ont toutefois évoqué la possibilité d’effectuer une arthrodèse</w:t>
      </w:r>
    </w:p>
    <w:p>
      <w:r>
        <w:t>A/2840/2024 - 13/26 - sous-talienne du côté droit, ce qui devait permettre d'espérer une diminution des douleurs d'environ 80%. Pour sa part, la Dre D______, consultée par la CNA pour un deuxième avis, a exprimé des doutes quant à l’adéquation d’une telle arthrodèse, dès lors que le recourant présentait une hyperkératose (callosités) marquée des talons des deux côtés alors qu’il expliquait ne pas pouvoir poser le talon et avoir besoin des cannes pour marcher. Si elles s’accordent à retenir que le recourant souffre d’une arthrose sous-talienne des deux pieds, les parties s’opposent toutefois sur les questions de la stabilisation de l’état de santé du recourant et les répercussions de cette atteinte sous-talienne sur sa capacité de travail. En effet, se fondant sur les conclusions de son médecin-conseil, la Dre E______, datées du 31 janvier 2024, l’intimée retient pour sa part une stabilisation de l’état de santé à cette date et une capacité de travail entière dans une activité adaptée aux limitations fonctionnelles énoncées. De son côté, le recourant conteste la stabilisation compte tenu de l’arthrodèse envisagée par les médecins des HUG et allègue être toujours en incapacité totale de travailler, ce quelle que soit l’activité retenue. Ce faisant, le recourant conteste, à tout le moins implicitement, la valeur probante de l’appréciation de la Dre E______ du 31 janvier 2024. Dès lors que dans son appréciation précitée, le médecin-conseil de l’intimée se prononce tant sur la stabilisation de l’état de santé du recourant que sur sa capacité de travail, il convient d’en examiner la valeur probante dans un premier temps avant de s’intéresser plus spécifiquement aux conclusions prises en lien avec ces deux problématiques.</w:t>
      </w:r>
    </w:p>
    <w:p>
      <w:r>
        <w:rPr>
          <w:b/>
        </w:rPr>
        <w:t>E. 5.2</w:t>
      </w:r>
    </w:p>
    <w:p>
      <w:r>
        <w:t>À titre liminaire, il y a lieu de relever que le fait que la Dre E______ soit le médecin-conseil de la CNA ne suffit pas, en l’absence de circonstances particulières, pour douter de l'objectivité de son appréciation ou encore pour soupçonner une prévention à l'égard du recourant. De même que le fait que son appréciation ait été établie sur dossier ne suffit pas non plus pour lui dénier, pour ce seul motif, toute valeur probante, dès lors que cette médecin-conseil a fondé ses conclusions sur plusieurs appréciations médicales qui, elles, ont été établies à la suite d’un examen personnel de l’assuré. Ainsi en est-il notamment du rapport de la CRR du 21 août 2023, des rapports de consultation des HUG des 16 mars 2023, 2 octobre 2023 et 12 janvier 2024 ou encore du rapport de la Dre D______ du 21 janvier 2024, tous évoqués par la Dre E______. Il convient d’examiner la valeur probante de l’appréciation de la Dre E______ conformément aux réquisits jurisprudentiels en la matière. Or, force est de constater que sur le plan formel, cette appréciation répond auxdits réquisits jurisprudentiels. En effet, elle comporte le résumé du dossier, une anamnèse, les indications subjectives du recourant, des observations cliniques, ainsi qu'une discussion générale du cas. Les conclusions, qui résultent d'une analyse complète de la situation médicale, sont claires et bien motivées.</w:t>
      </w:r>
    </w:p>
    <w:p>
      <w:r>
        <w:t>A/2840/2024 - 14/26 - Sur le fond, la Dre E______ a repris les diagnostics retenus par les médecins de la CRR dans leur rapport du 21 août 2023, à savoir ceux de fracture du calcanéum gauche de type Sanders IV associée à une fracture de la malléole externe de type Weber A, fracture du calcanéum droit de type Sanders III, ostéosynthèse du calcanéum gauche le 6 avril 2022 et ablation du matériel d’ostéosynthèse le 10 mai 2023, antécédents d’ostéosynthèse du tibia droit en 2016, stéatose hépatique, coxalgies gauches et lombalgies gauches non déficitaires. Elle a également expliqué qu’en été 2023, les médecins de la CRR avaient retenu les limitations fonctionnelles provisoires suivantes : pas de port de charges de plus de 5 kg, pas de port de charges répété, pas de marche sans moyen auxiliaire, pas de marche prolongée ou de marche en terrain irrégulier, pas de réalisation répétée d’escaliers, pas de position accroupie ou à genoux, pas d’utilisation d’échelle et pas de position statique debout prolongée. Le recourant avait bénéficié de plusieurs infiltrations sous-taliennes, lesquelles avaient eu un effet mitigé. Une indication chirurgicale à une arthrodèse sous-talienne du côté droit avait été envisagée par les médecins des HUG en raison du mauvais effet du traitement conservateur malgré le port de semelles orthopédiques. Approchée pour un second avis, la Dre D______ avait conclu à un parfait alignement des arrières-pieds sans perte de hauteur des calcanéens avec une absence d’impingement tibio-talien antérieur ou latéral sous-malléolaire externe. Des callosités importantes avaient été constatées sous les talons, ce qui était incompatible avec l’impossibilité d’appuyer les talons comme démontré lors de la consultation. Cette discrépance radio clinique avec les symptômes était une contrindication selon la Dre D______ à un geste chirurgical d’arthrodèse. Prenant en considération ce qui précède, le médecin-conseil s’est prononcé sur deux points importants pour le recourant : la stabilisation de son état de santé et sa capacité de travail. S’agissant du premier point, la Dre E______ a rappelé que les médecins de la CRR avaient considéré qu’une stabilisation pouvait être attendue après quatre à cinq mois. Étant donné qu’il n’y avait eu, depuis l’été 2023, ni aggravation ni amélioration de l’état de santé du recourant, la Dre E______ a considéré que la stabilisation était désormais acquise quand bien même une arthrodèse sous-talienne gauche pouvait être réévaluée à moyen terme en cas d’aggravation des symptômes. Cela étant, il ne fallait pas attendre d’une telle intervention une amélioration de la capacité de travail compte tenu du pronostic de réinsertion dans l’ancienne activité défavorable en lien avec les facteurs médicaux retenus après l’accident mais également en lien avec des facteurs non médicaux. En ce qui concerne la capacité de travail, la Dre E______, toujours en se référant aux médecins de la CRR, a retenu les limitations fonctionnelles évoquées en été 2023, qu’elle a qualifiées de définitives, et dans cette mesure, elle a considéré que</w:t>
      </w:r>
    </w:p>
    <w:p>
      <w:r>
        <w:t>A/2840/2024 - 15/26 - la capacité de travail du recourant était nulle dans l’activité habituelle et entière dans une activité adaptée.</w:t>
      </w:r>
    </w:p>
    <w:p>
      <w:r>
        <w:rPr>
          <w:b/>
        </w:rPr>
        <w:t>E. 5.2.1</w:t>
      </w:r>
    </w:p>
    <w:p>
      <w:r>
        <w:t>Le recourant conteste tout d’abord la stabilisation de son état de santé compte tenu de l’arthrodèse évoquée par les médecins des HUG. À titre liminaire, il y a lieu de rappeler que l’assureur-accidents peut clore un cas quand bien même l’assuré ressent encore une gêne ou des douleurs. La seule question qui se pose en effet dans ce contexte est celle de savoir si le traitement médical peut encore entraîner une amélioration sensible de l’état de santé de l’assuré, ce par quoi il faut en principe entendre une amélioration de la capacité de travail (ATAS/1004/2021 du 27 septembre 2021 consid. 15). Dans le cadre de l’examen de la stabilisation de l’état de santé et de la clôture du cas, la question n’est donc pas celle de savoir si le recourant est guéri. Il s’agit en réalité uniquement de déterminer s’il existe encore un traitement médical pouvant entraîner une amélioration de la capacité de travail du recourant (ATAS/590/2022 du 21 juin 2022 consid. 7). Par ailleurs, la question de la stabilisation – ou en d’autres termes celle de l’amélioration sensible de l’état de santé par un traitement médical – doit être examinée de manière prospective et non sur la base de constatations rétrospectives et, dans ce contexte, les rapports médicaux établis postérieurement à la clôture du cas ne sont pas pertinents (cf. consid. 2.3 supra). Par conséquent, les conclusions de la Dre E______ relatives à la stabilisation de l’état de santé du recourant s’examinent en prenant en considération les pièces disponibles en janvier 2024. Ainsi, la chambre de céans ne saurait se référer, pour ce faire, aux pièces médicales nouvelles produites par le recourant en annexe à ses écritures des 3 juillet 2024 et 24 juillet 2025, ou à l’appréciation de la Dre E______ du 12 août 2025, laquelle tient compte de l’évolution de l’état de santé du recourant entre 2024 et 2025, sauf à procéder à un examen rétrospectif, ce qui est contraire à la jurisprudence fédérale. Cela étant précisé, la chambre de céans relève que la possibilité d’une arthrodèse sous-talienne ne s’oppose pas à la stabilisation de l’état de santé du recourant. En effet, une telle intervention a pour but de réduire les douleurs comme l’a relevé le Dr G______ dans son rapport du 12 janvier 2024. En d’autres termes, cette intervention allait entraîner un bénéfice pour le bien-être du recourant, le médecin précité n’ayant pas évoqué une amélioration de la capacité de travail de son patient dans son activité habituelle de peintre en bâtiment. Or, selon la jurisprudence, lorsque la personne assurée a une capacité de travail limitée dans son activité habituelle mais dispose d’une pleine capacité de travail dans une activité adaptée aux limitations fonctionnelles retenues, le cas doit en règle générale être clos. La stabilisation est donc acquise pour ce motif déjà. Dans un souci d’exhaustivité, la chambre de céans relèvera encore que les traitements médicamenteux et de physiothérapie ne sont pas considérés comme</w:t>
      </w:r>
    </w:p>
    <w:p>
      <w:r>
        <w:t>A/2840/2024 - 16/26 - faisant partie d’un traitement médical susceptible d’entraîner une sensible amélioration de l’état de santé au sens entendu par la jurisprudence dans le contexte de l’art. 19 LAA. Enfin, c’est le lieu de constater qu’à aucun moment le recourant n’a spécifiquement conclu à la poursuite du versement des indemnités journalières alors qu’il a sollicité une rente d’invalidité, prestation envisageable uniquement après la stabilisation du cas. En réalité, ce n’est qu’à la suite de la réponse de la CNA, dans laquelle cette dernière a constaté qu’il ne remettait pas en cause la stabilisation de son état de santé, que le recourant a finalement évoqué cet aspect. Pour tous ces motifs, il y a lieu de retenir que l’état de santé du recourant était stabilisé au 31 janvier 2024, aucun élément au dossier ne permettant de considérer qu’un traitement pourrait entraîner une amélioration de la capacité de travail dans son activité habituelle. En effet, l’arthrodèse évoquée n’est susceptible d’entraîner qu’une amélioration des douleurs mais non de la capacité de travail du recourant dans son activité habituelle. À noter encore que dans sa duplique du 17 janvier 2025, l’intimée a expliqué que si le recourant venait à se faire opérer, le droit aux prestations pourrait le cas échéant être réexaminé dans le cadre d’une rechute.</w:t>
      </w:r>
    </w:p>
    <w:p>
      <w:r>
        <w:rPr>
          <w:b/>
        </w:rPr>
        <w:t>E. 5.2.2</w:t>
      </w:r>
    </w:p>
    <w:p>
      <w:r>
        <w:t>Ensuite, se référant au rapport de la Dre D______ du 25 janvier 2024 et à l’appréciation d’une page et demie de la Dre E______ du 31 janvier 2024, le recourant explique ne pas comprendre les motifs pour lesquels le médecin-conseil a retenu une capacité de travail entière dans une activité adaptée. Préalablement, la chambre de céans relève que l’appréciation de la Dre E______ d’une page et demie à laquelle le recourant fait référence est très vraisemblablement celle portant sur la question de l’atteinte à l’intégrité. En effet, c’est la seule appréciation de ce médecin qui comporte une page et demie (l’autre comportant sept pages) et qui a été produite par le recourant dans son chargé de pièces à l’appui de son recours. Cela étant relevé, force est de constater que tant le rapport de la Dre D______ du 25 janvier 2024 que l’appréciation de la Dre E______ du 31 janvier 2024 d’une page et demie ne portent pas sur la capacité de travail du recourant. Il est donc logique que le recourant ne comprenne pas, sur la base de ces rapports, les raisons pour lesquelles une capacité de travail entière dans une activité adaptée a été retenue, ces deux pièces portant essentiellement sur l’indication à une arthrodèse. En réalité, c’est dans sa seconde appréciation, également établie le 31 janvier 2024 et comportant sept pages, que la Dre E______ se prononce sur la capacité de travail du recourant. Or, il en ressort qu’en raison de son atteinte aux pieds, le recourant ne peut plus exercer son activité habituelle de peintre en bâtiment. En revanche, le médecin-conseil estime qu’on peut attendre du recourant qu’il reprenne une activité professionnelle adaptée, soit une activité respectant un certain nombre de limitations fonctionnelles, à savoir pas de port de charges supérieures à 5 kg, pas de port de charges répété, pas de marche sans moyen</w:t>
      </w:r>
    </w:p>
    <w:p>
      <w:r>
        <w:t>A/2840/2024 - 17/26 - auxiliaire, pas de marche prolongée, pas de marche en terrain irrégulier, pas de réalisation répétée d’escaliers, pas de position accroupie à genoux, pas d’utilisation d’échelle et pas de position statique debout prolongée. La Dre E______, reprenant en cela les conclusions des médecins de la CRR, a retenu ces limitations dans le but d’épargner les pieds du recourant. En effet, il ressort des autres pièces du dossier que ce sont surtout la charge et la marche qui déclenchent les douleurs aux pieds (cf. rapport des HUG [consultation de suivi] du 16 mars 2023 : « Le patient décrit toujours des douleurs sous le talon ddc lors de marches de plus de 2 heures » ; rapport de la CRR du 21 aout 2023 : « à l’entrée, les plaintes et limitations fonctionnelles du patient sont des douleurs des deux pieds, principalement au niveau des talons, d’une intensité de 5 à 6/10 en moyenne […] les douleurs peuvent monter jusqu’à 10/10 s’il sollicite trop ses pieds » ; rapport du Dr G______ du 31 août 2023 : « ce jour, le patient rapporte des douleurs jusqu’à 7/10 en regard de l’articulation sous talienne et prédominant à la marche du côté droit » ; complément de la Dre E______ du 21 février 2024 : « ce sont les mouvements d’inversion/éversion qui peuvent expliquer les douleurs [ceux sollicités lors de la marche sur terrains irréguliers et les longues marches de plus de 40 minutes] » ou encore rapport du Dr F______ du 23 juillet 2025 : « les douleurs sont présentes dès qu’il se mobilise et parfois nocturnes selon les efforts journaliers »). Dans le but de contester ce qui précède, le recourant a produit un rapport établi le 23 juillet 2025 par le Dr F______, lequel a repris le suivi. Force est toutefois de constater que ce document ne permet pas de s’écarter de ce qui précède. En effet, ce médecin ne se prononce ni sur les limitations fonctionnelles ni sur la capacité de travail retenues par la Dre E______. En réalité, le Dr F______ se prononce uniquement sur l’arthrodèse précédemment évoquée, dont l’indication sera « possiblement maintenue » en fonction du résultat des examens complémentaires à effectuer. En tous les cas, que l’indication à une arthrodèse soit posée ou non, les pièces figurant au dossier montrent que le recourant n’est pas empêché d’exercer une activité adaptée aux limitations fonctionnelles évoquées précédemment, lesquelles épargnent justement les talons du recourant, en privilégiant une activité essentiellement sédentaire, sans longs déplacements et sans port de charges. Dans ces circonstances, la chambre de céans ne peut que constater que le recourant n’a pas fourni d'éléments objectifs précis qui justifieraient, d'un point de vue médical, d'envisager la situation selon une perspective différente ou, à tout le moins, la mise en œuvre d'un complément d'instruction. En effet, il n’a produit aucun rapport de son médecin ou d’un autre professionnel de la santé, dans lequel les constatations et conclusions des médecins de la CRR et de la CNA seraient contestées du point de vue médical. Aussi, la chambre de céans retiendra que c’est à juste titre que l’intimée a considéré que la capacité de travail du recourant était nulle dans l’activité habituelle de peintre en bâtiment mais entière, avec un plein</w:t>
      </w:r>
    </w:p>
    <w:p>
      <w:r>
        <w:t>A/2840/2024 - 18/26 - rendement, dans une activité adaptée aux limitations fonctionnelles susmentionnées. Dans cette mesure, la chambre de céans renoncera, par appréciation anticipée des preuves, à effectuer d’autres actes d’instruction, notamment à ordonner une expertise. À toutes fins utiles, c’est le lieu de rappeler que personne ne remet en question les atteintes dont souffre le recourant. La seule question qui se pose est celle de savoir si on peut objectivement exiger de lui qu’il reprenne une activité professionnelle, adaptée à son état de santé. Or, les médecins consultés par l’intimée ont répondu par l’affirmative après avoir examiné la situation médicale du recourant en faisant abstraction des facteurs psychosociaux ou socioculturels au nombre desquels figurent notamment la mauvaise maîtrise du français, l’absence de formation ou de permis de séjour, qui justement constituent des éléments qui ont été évoqués par les médecins de la CRR comme contre-indiquant un retour à la vie professionnelle.</w:t>
      </w:r>
    </w:p>
    <w:p>
      <w:r>
        <w:rPr>
          <w:b/>
        </w:rPr>
        <w:t>E. 6</w:t>
      </w:r>
    </w:p>
    <w:p>
      <w:r>
        <w:t>Reste à vérifier le calcul du degré d’invalidité, le recourant s’interrogeant sur la différence entre le degré d’invalidité retenu par l’intimée de 3% et celui calculé par l’office de l’assurance-invalidité du canton des Genève (ci-après : OAI), de 13%.</w:t>
      </w:r>
    </w:p>
    <w:p>
      <w:r>
        <w:rPr>
          <w:b/>
        </w:rPr>
        <w:t>E. 6.1</w:t>
      </w:r>
    </w:p>
    <w:p>
      <w:r>
        <w:t>Selon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rPr>
          <w:b/>
        </w:rPr>
        <w:t>E. 6.2</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w:t>
      </w:r>
    </w:p>
    <w:p>
      <w:r>
        <w:t>A/2840/2024 - 19/26 - l'invalidité. En aucune manière un assureur ne peut se contenter de reprendre simplement et sans plus ample examen le taux d'invalidité fixé par l'autre assureur car un effet obligatoire aussi étendu ne se justifierait pas (ATF 133 V 549 consid. 6 ; 131 V 362 consid. 2.2). Le Tribunal fédéral a précisé sa jurisprudence relative au principe d'uniformité de la notion d'invalidité dans l'assurance sociale en ce sens que l'évaluation de l'invalidité par les organes de l'assurance-invalidité n'a pas de force contraignante pour l'assureur-accidents (ATF 131 V 362 consid. 2.3). Récemment, il a admis la réciprocité de cette règle à l'égard de l'assurance-invalidité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(arrêt du Tribunal fédéral I 50/04 du 30 novembre 2004).</w:t>
      </w:r>
    </w:p>
    <w:p>
      <w:r>
        <w:rPr>
          <w:b/>
        </w:rPr>
        <w:t>E. 6.3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130 V 343 consid. 3.4).</w:t>
      </w:r>
    </w:p>
    <w:p>
      <w:r>
        <w:rPr>
          <w:b/>
        </w:rPr>
        <w:t>E. 6.4</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w:t>
      </w:r>
    </w:p>
    <w:p>
      <w:r>
        <w:rPr>
          <w:b/>
        </w:rPr>
        <w:t>E. 6.4.1</w:t>
      </w:r>
    </w:p>
    <w:p>
      <w:r>
        <w:t>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 290/04 du 28 décembre 2004 et les</w:t>
      </w:r>
    </w:p>
    <w:p>
      <w:r>
        <w:t>A/2840/2024 - 20/26 - références). Il a toutefois été jugé qu’en l’absence d’informations fiables sur le dernier salaire effectivement perçu (arrêt du Tribunal fédéral 8C_643/2016 du 25 avril 2016 consid. 4.4 et les arrêts cités) ou d’autres circonstances telles que l’absence d’activité lucrative au moment de l’accident ou encore une perte d’emploi qui serait survenue de toute manière, même sans l’accident, dans les mois précédant le début du droit à la rente, il était exceptionnellement possible de déterminer le revenu sans invalidité au moyen de l'ESS (arrêt du Tribunal fédéral 8C_728/2016 du 21 décembre 2016 consid. 3.1), de recommandations salariales non contraignantes émises par des associations professionnelles (arrêts du Tribunal fédéral U 391/06 du 8 février 2007 consid. 4.2 et U 158/06 du 4 août 2006 consid. 2.3) ou encore d’une convention collective de travail (ci-après : CCT ; arrêts du Tribunal fédéral 8C_462/2014 du 18 novembre 2014 consid. 5.1 ; 8C_90/2010 du 12 mai 2010 consid. 6.2.1.2).</w:t>
      </w:r>
    </w:p>
    <w:p>
      <w:r>
        <w:rPr>
          <w:b/>
        </w:rPr>
        <w:t>E. 6.4.2</w:t>
      </w:r>
    </w:p>
    <w:p>
      <w:r>
        <w:t>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résultant de l’ESS pour la branche concernée (ATF 135 V 297 consid. 6.1.2 ; arrêt du Tribunal fédéral 8C_557/2012 du 25 juin 2013 consid. 4.2). Dans un arrêt 8C_141/2016 du 17 mai 2016, le Tribunal fédéral a cependant considéré que lorsque le revenu sans invalidité d’un ouvrier non qualifié dans la construction correspondait au salaire minimum prévu par la Convention nationale du secteur principal de la construction en Suisse (ci-après : CN) ou bien même le dépassait et qu’il existait en outre une différence importante entre le salaire statistique issu de l’ESS et le revenu sans invalidité de l’assuré, ce revenu sans invalidité ne pouvait être considéré comme inférieur au salaire moyen tel que</w:t>
      </w:r>
    </w:p>
    <w:p>
      <w:r>
        <w:t>A/2840/2024 - 21/26 - l’entendait la jurisprudence en matière de mise en parallèle des revenus à comparer. Dans ce cas en effet, le salaire minimum d’embauche selon la CN représentait de manière plus précise le salaire usuel dans la branche de la construction que le salaire selon l’ESS correspondante, de sorte qu’il y avait lieu de renoncer à majorer le revenu sans invalidité à concurrence de la part excédant le taux déterminant de 5% du salaire statistique et s’en tenir au revenu sans invalidité effectivement perçu, lequel était supérieur au salaire minimum selon la CN. La jurisprudence inaugurée par l’arrêt du Tribunal fédéral 8C_141/2016 précité est applicable mutatis mutandis aux autres branches d’activités pour lesquelles une convention nationale ou une CCT a été conclue (arrêt du Tribunal fédéral 8C_537/2016 du 11 avril 2017 consid. 6.2). Cette situation doit être distinguée de celle dans laquelle le revenu sans invalidité est déterminé non pas sur la base du dernier salaire perçu mais d’une CCT dont les minima salariaux sont proches du salaire statistique tel qu’il ressort de l’ESS correspondante (arrêt du Tribunal fédéral 8C_141/2016 précité consid. 5 au sujet de l’arrêt du Tribunal fédéral 8C_90/2010 du 23 juillet 2010 dans lequel la Haute Cour a considéré qu’il était possible de déterminer le revenu sans invalidité sur la base d’une CCT dont les minima salariaux étaient en définitive légèrement supérieurs aux revenus statistiques résultant de l’ESS pour la même branche).</w:t>
      </w:r>
    </w:p>
    <w:p>
      <w:r>
        <w:rPr>
          <w:b/>
        </w:rPr>
        <w:t>E. 6.5</w:t>
      </w:r>
    </w:p>
    <w:p>
      <w:r>
        <w:t>Quant au revenu d'invalide, il doit être évalué avant tout en fonction de la situation professionnelle concrète de l'intéressé (ATF 135 V 297 consid. 5.2).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(ATF 139 V 592 consid. 2.3 ; 126 V 75 consid. 3b/aa et bb ; arrêt du Tribunal fédéral 9C_140/2017 du 18 août 2017 consid. 5.4.1).</w:t>
      </w:r>
    </w:p>
    <w:p>
      <w:r>
        <w:rPr>
          <w:b/>
        </w:rPr>
        <w:t>E. 6.5.1</w:t>
      </w:r>
    </w:p>
    <w:p>
      <w:r>
        <w:t>Depuis la 10e édition des statistiques de l'Enquête suisse sur la structure des salaires (ESS 2012), les emplois sont classés par l'Office fédéral de la statistique (ci-après :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du Tribunal fédéral 9C_901/2017 du 28 mai 2018 consid. 3.3).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w:t>
      </w:r>
    </w:p>
    <w:p>
      <w:r>
        <w:t>A/2840/2024 - 22/26 -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L'accent est donc mis sur le type de tâches que l'assuré est susceptible d'assumer en fonction de ses qualifications (niveau de ses compétences) mais pas sur les qualifications en elles-mêmes (arrêt du Tribunal fédéral 9C_901/2017 du 28 mai 2018 consid. 3.3). Lorsque les ESS sont appliquées,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C'est le lieu de préciser que les tables TA1, T1 et TA7 des ESS publiées jusqu'en 2010 correspondent respectivement aux tables TA1_tirage_skill_level, T1_tirage_skill_level et T17 des ESS publiées depuis 2012 (voir lettre circulaire AI no 328 du 22 octobre 2014 et David IONTA, Fixation du revenu d'invalide selon l'ESS, ch. 68, in Jusletter du 22 octobre 2018).</w:t>
      </w:r>
    </w:p>
    <w:p>
      <w:r>
        <w:rPr>
          <w:b/>
        </w:rPr>
        <w:t>E. 6.5.2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w:t>
      </w:r>
    </w:p>
    <w:p>
      <w:r>
        <w:t>A/2840/2024 - 23/26 -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w:t>
      </w:r>
    </w:p>
    <w:p>
      <w:r>
        <w:rPr>
          <w:b/>
        </w:rPr>
        <w:t>E. 6.6</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Selon la jurisprudence, le résultat exact du calcul du degré d'invalidité doit être arrondi au chiffre en pour cent supérieur ou inférieur selon les règles applicables en mathématiques. En cas de résultat jusqu'à x.49 %, il faut arrondir à x% et pour des valeurs à partir de x.50 %, il faut arrondir à (x+1)% (ATF 130 V 121 consid. 3.2).</w:t>
      </w:r>
    </w:p>
    <w:p>
      <w:r>
        <w:rPr>
          <w:b/>
        </w:rPr>
        <w:t>E. 7.1</w:t>
      </w:r>
    </w:p>
    <w:p>
      <w:r>
        <w:t>En l’espèce, le recourant travaillait pour le compte de la société C______ lorsqu’il a été victime de l’accident assuré. Selon les informations données par l’employeuse, le salaire annuel du recourant en 2022 était de CHF 57'200.- (CHF 27.50 x 40 x 52), auquel s’ajoutait un 13e salaire, soit CHF 4'765.-, ce qui aurait porté, sans l’accident, le salaire annuel, 13e salaire compris, à CHF 61'965.- en 2022. Pour sa part, l’intimée a combiné les données salariales transmises par l’employeuse avec celles ressortant de la CCT du second œuvre romand (ci-après : CCT-SOR), en retenant que le salaire annuel aurait été de CHF 63'758.75 (CHF 27.60 x 177.7 heures x 13 mois).</w:t>
      </w:r>
    </w:p>
    <w:p>
      <w:r>
        <w:rPr>
          <w:b/>
        </w:rPr>
        <w:t>E. 7.2</w:t>
      </w:r>
    </w:p>
    <w:p>
      <w:r>
        <w:t>Le registre du commerce révèle que l’employeuse a été radiée du registre du commerce le 21 février 2024, de sorte qu’il y a lieu de considérer qu’au moment déterminant pour l’évaluation de l’invalidité (1er avril 2024), le recourant n’aurait</w:t>
      </w:r>
    </w:p>
    <w:p>
      <w:r>
        <w:t>A/2840/2024 - 24/26 - plus exercé d’activité pour cette employeuse même sans l’accident assuré. Il a par ailleurs essentiellement, voire uniquement, travaillé dans le domaine de la construction et de la rénovation (cf. comptes individuels et ATAS/959/2025 du</w:t>
      </w:r>
    </w:p>
    <w:p>
      <w:r>
        <w:rPr>
          <w:b/>
        </w:rPr>
        <w:t>E. 7.3</w:t>
      </w:r>
    </w:p>
    <w:p>
      <w:r>
        <w:t>Pour le surplus, le recourant n’a contesté ni le revenu avec invalidité ni l’abattement de 10% appliqué par l’intimée, de sorte qu’il y a lieu de s’y référer, ce d’autant plus qu’ils correspondent à la jurisprudence en la matière. La comparaison des revenus étant ainsi conforme à la jurisprudence, il y a lieu de la confirmer.</w:t>
      </w:r>
    </w:p>
    <w:p>
      <w:r>
        <w:rPr>
          <w:b/>
        </w:rPr>
        <w:t>E. 8</w:t>
      </w:r>
    </w:p>
    <w:p>
      <w:r>
        <w:t>Eu égard à ce qui précède, le recours, mal fondé, sera rejeté et la décision sur opposition confirmée.</w:t>
      </w:r>
    </w:p>
    <w:p>
      <w:r>
        <w:rPr>
          <w:b/>
        </w:rPr>
        <w:t>E. 9</w:t>
      </w:r>
    </w:p>
    <w:p>
      <w:r>
        <w:t>Le recourant, qui succombe, ne peut prétendre une indemnité à titre de dépens (art. 61 let. g LPGA a contrario). Par ailleurs, les assureurs sociaux qui obtiennent gain de cause devant une juridiction de première instance n'ont en principe pas droit à une indemnité de dépens (ATF 126 V 149 consid. 4). Pour le surplus, la procédure est gratuite (art. 61 let. a LPGA).</w:t>
      </w:r>
    </w:p>
    <w:p>
      <w:r>
        <w:t>A/2840/2024 - 26/26 -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