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ATAS/960/2023 vom 7. Dezember 2023</w:t>
      </w:r>
    </w:p>
    <w:p>
      <w:r>
        <w:t>GE Cour de justice, 2023-12-07, FR</w:t>
      </w:r>
    </w:p>
    <w:p>
      <w:r>
        <w:rPr>
          <w:b/>
        </w:rPr>
        <w:t xml:space="preserve">Quelle: </w:t>
      </w:r>
      <w:r>
        <w:t>https://mcp.opencaselaw.ch/entscheid/ge_gerichte_ATAS_960_2023</w:t>
      </w:r>
    </w:p>
    <w:p>
      <w:r>
        <w:t>FR: GE_GERICHTE ATAS/960/2023 du 7 décembre 2023</w:t>
      </w:r>
    </w:p>
    <w:p>
      <w:r>
        <w:t>IT: GE_GERICHTE ATAS/960/2023 del 7 dicembre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Le litige porte sur le calcul des prestations de la recourante pour l’année 2021 et l’année 2023, plus particulièrement sur les montants retenus à titre de revenus pour ses enfants E______ et D______ en 2021, d’une part, et la prise en compte des enfants partageant son logement en 2021 et 2023 dans le calcul du loyer, d’autre part.</w:t>
      </w:r>
    </w:p>
    <w:p>
      <w:r>
        <w:rPr>
          <w:b/>
        </w:rPr>
        <w:t>E. 7.1</w:t>
      </w:r>
    </w:p>
    <w:p>
      <w:r>
        <w:t>Sur le plan fédéral, les personnes qui ont leur domicile et leur résidence habituelle (art. 13 LPGA) en Suisse et qui remplissent les conditions personnelles prévues aux art. 4, 5, 6 et 8 LPC ont droit à des prestations complémentaires. Ont ainsi droit aux prestations complémentaires notamment les personnes qui perçoivent une rente de vieillesse de l'assurance-vieillesse et survivants, conformément à l'art. 4 al. 1 let. a LPC.</w:t>
      </w:r>
    </w:p>
    <w:p>
      <w:r>
        <w:rPr>
          <w:b/>
        </w:rPr>
        <w:t>E. 7.2</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7.3</w:t>
      </w:r>
    </w:p>
    <w:p>
      <w:r>
        <w:t>Selon l’art. 11 al. 1 LPC, les revenus déterminants comprennent notamment les rentes, pensions et autres prestations périodiques, y compris les rentes de l’AVS et de l’AI (let. d).</w:t>
      </w:r>
    </w:p>
    <w:p>
      <w:r>
        <w:rPr>
          <w:b/>
        </w:rPr>
        <w:t>E. 7.4</w:t>
      </w:r>
    </w:p>
    <w:p>
      <w:r>
        <w:t>L'art. 10 LPC définit les dépenses reconnues et fixe notamment le montant maximal reconnu pour le loyer d'un appartement. Pour les personnes seules, le montant du loyer de l’appartement et des frais accessoires y relatifs s’élève à CHF 13'200.- par an (art. 10 al. 1 let. b ch. 1 LPC).</w:t>
      </w:r>
    </w:p>
    <w:p>
      <w:r>
        <w:rPr>
          <w:b/>
        </w:rPr>
        <w:t>E. 7.5</w:t>
      </w:r>
    </w:p>
    <w:p>
      <w:r>
        <w:t>En vertu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w:t>
      </w:r>
    </w:p>
    <w:p>
      <w:r>
        <w:rPr>
          <w:b/>
        </w:rPr>
        <w:t>E. 7.5.1</w:t>
      </w:r>
    </w:p>
    <w:p>
      <w:r>
        <w:t>L'art. 16c al. 1 OPC-AVS/AI dont la légalité n'est pas contestable (ATF 127 V 10), ne fait pas directement référence à la notion de domicile au sens du droit civil. Par l'emploi du terme « occupés » (en allemand : « bewohnt » ; en italien :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Dans ces circonstances, le dépôt de papiers ou le domicile fiscal, comme indices formels, ne peuvent créer qu'une présomption de fait que d'autres indices peuvent</w:t>
      </w:r>
    </w:p>
    <w:p>
      <w:r>
        <w:t>A/999/2023 - 6/9 - permettre de renverser (arrêt du Tribunal fédéral 9C_807/2009 du 24 mars 2010 consid. 3.4).</w:t>
      </w:r>
    </w:p>
    <w:p>
      <w:r>
        <w:rPr>
          <w:b/>
        </w:rPr>
        <w:t>E. 7.5.2</w:t>
      </w:r>
    </w:p>
    <w:p>
      <w:r>
        <w:t>Selon la jurisprudence, le critère est de savoir s'il y a logement commun, indépendamment du fait qu’il y ait bail commun ou que l’un des occupants paie seul le loyer (ATF 127 V 17 consid. 6b ; arrêt du Tribunal fédéral P.53/01 du 13 mars 2002 consid. 3a/aa). Aussi, lorsque plusieurs personnes occupent le même foyer ou font ménage commun, il y a lieu de partager à parts égales le loyer qui est pris en compte dans le calcul des prestations complémentaires (arrêt du Tribunal fédéral P.66/04 du 16 août 2005 consid. 2).</w:t>
      </w:r>
    </w:p>
    <w:p>
      <w:r>
        <w:rPr>
          <w:b/>
        </w:rPr>
        <w:t>E. 8.1</w:t>
      </w:r>
    </w:p>
    <w:p>
      <w:r>
        <w:t>Sur le plan cantonal, ont droit aux prestations complémentaires cantonales les personnes qui remplissent les conditions de l’art. 2 LPCC (que sont notamment la perception d'une rente de l'assurance-vieillesse et survivants [al. 1 let. b]) et dont le revenu annuel déterminant n'atteint pas le revenu minimum cantonal d'aide sociale applicable (art. 4 LPCC).</w:t>
      </w:r>
    </w:p>
    <w:p>
      <w:r>
        <w:rPr>
          <w:b/>
        </w:rPr>
        <w:t>E. 8.2</w:t>
      </w:r>
    </w:p>
    <w:p>
      <w:r>
        <w:t>Le montant annuel de la prestation complémentaire cantonale correspond à la part des dépenses reconnues qui excède le revenu annuel déterminant de l'intéressé (art. 15 al. 1 LPCC).</w:t>
      </w:r>
    </w:p>
    <w:p>
      <w:r>
        <w:rPr>
          <w:b/>
        </w:rPr>
        <w:t>E. 8.3</w:t>
      </w:r>
    </w:p>
    <w:p>
      <w:r>
        <w:t>Selon l'art. 5 LPCC, le revenu déterminant est calculé conformément aux règles fixées dans la loi fédérale et ses dispositions d'exécution, moyennant les adaptations énumérées aux lettres a à c (non pertinentes ici).</w:t>
      </w:r>
    </w:p>
    <w:p>
      <w:r>
        <w:rPr>
          <w:b/>
        </w:rPr>
        <w:t>E. 8.4</w:t>
      </w:r>
    </w:p>
    <w:p>
      <w:r>
        <w:t>À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w:t>
      </w:r>
    </w:p>
    <w:p>
      <w:r>
        <w:rPr>
          <w:b/>
        </w:rPr>
        <w:t>E. 9.1</w:t>
      </w:r>
    </w:p>
    <w:p>
      <w:r>
        <w:t>Selon l’art. 25 al. 1 OPC-AVS/AI, la prestation complémentaire annuelle doit être augmentée, réduite ou supprimée : lors de chaque changement survenant au sein d’une communauté de personnes comprises dans le calcul de la prestation complémentaire annuelle (let. a) ; lors d’un contrôle périodique, si l’on constate un changement des dépenses reconnues, des revenus déterminants et de la fortune ; on pourra renoncer à rectifier la prestation complémentaire annuelle, lorsque la modification est inférieure à CHF 120.- par an (let. d).</w:t>
      </w:r>
    </w:p>
    <w:p>
      <w:r>
        <w:rPr>
          <w:b/>
        </w:rPr>
        <w:t>E. 9.2</w:t>
      </w:r>
    </w:p>
    <w:p>
      <w:r>
        <w:t>Selon l’art. 25 al. 2 OPC-AVS/AI, la nouvelle décision doit porter effet dès la date suivante :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(let. a) ; dans les cas prévus par l’al. 1 let. d, dès le début du mois au cours duquel le changement a été annoncé,</w:t>
      </w:r>
    </w:p>
    <w:p>
      <w:r>
        <w:t>A/999/2023 - 7/9 - mais au plus tôt à partir du mois dans lequel celui-ci est survenu et au plus tard dès le début du mois qui suit celui au cours duquel la nouvelle décision a été rendue. La créance en restitution est réservée lorsque l’obligation de renseigner a été violée (let. d).</w:t>
      </w:r>
    </w:p>
    <w:p>
      <w:r>
        <w:rPr>
          <w:b/>
        </w:rPr>
        <w:t>E. 10.1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10.2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11.1</w:t>
      </w:r>
    </w:p>
    <w:p>
      <w:r>
        <w:t>En l'espèce, s’agissant tout d’abord de la prise en compte des revenus des enfants E______ et D______ dans les calculs, il suffira de constater que l’intimé en a tenu compte de manière correcte. En effet, comme l’intimé l’a dûment expliqué à la recourante en audience et ainsi que cela ressort de ses plans de calcul, le revenu de E______ n’a été pris en compte que jusqu’en juin 2021 et celui de D______ seulement jusqu’en septembre 2021 : c’est précisément la raison pour laquelle l’intimé a établi un plan concernant la période de janvier à</w:t>
      </w:r>
    </w:p>
    <w:p>
      <w:r>
        <w:t>A/999/2023 - 8/9 - juin 2021, un autre pour la période de juillet à septembre 2021 et un troisième pour la période d’octobre à décembre 2021 (annexés à la décision du 18 octobre 2022). Ce grief est donc écarté car manifestement infondé.</w:t>
      </w:r>
    </w:p>
    <w:p>
      <w:r>
        <w:rPr>
          <w:b/>
        </w:rPr>
        <w:t>E. 11.2</w:t>
      </w:r>
    </w:p>
    <w:p>
      <w:r>
        <w:t>Il en va de même du grief de la recourante relatif à la prise en compte d’un loyer proportionnel au nombre de personnes occupant le logement familial. Comme rappelé supra, lorsque plusieurs personnes occupent le même foyer ou font ménage commun, il y a lieu de partager à parts égales du loyer à prendre en compte dans le calcul du droit aux prestations complémentaires. Cette règle vise à empêcher le financement indirect de personnes non comprises dans le calcul des prestations complémentaires. Or, il n’est pas contesté que les enfants de l’assurée non compris dans ledit calcul ont occupé son logement (s’agissant de E______) ou l’occupent encore (s’agissant de Soraya et D______). Peu importe à cet égard qu’ils contribuent effectivement ou non au paiement du loyer, la prise en compte d’un loyer proportionnel n’étant pas conditionnée aux ressources des personnes non comprises dans le calcul des prestations.</w:t>
      </w:r>
    </w:p>
    <w:p>
      <w:r>
        <w:rPr>
          <w:b/>
        </w:rPr>
        <w:t>E. 11.3</w:t>
      </w:r>
    </w:p>
    <w:p>
      <w:r>
        <w:t>Au vu de ce qui précède, le recours, manifestement infondé, est rejeté.</w:t>
      </w:r>
    </w:p>
    <w:p>
      <w:r>
        <w:t>A/999/2023 - 9/9 -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