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ATAS/960/2022 vom 3. November 2022</w:t>
      </w:r>
    </w:p>
    <w:p>
      <w:r>
        <w:t>GE Cour de justice, 2022-11-03, FR</w:t>
      </w:r>
    </w:p>
    <w:p>
      <w:r>
        <w:rPr>
          <w:b/>
        </w:rPr>
        <w:t xml:space="preserve">Quelle: </w:t>
      </w:r>
      <w:r>
        <w:t>https://mcp.opencaselaw.ch/entscheid/ge_gerichte_ATAS_960_2022</w:t>
      </w:r>
    </w:p>
    <w:p>
      <w:r>
        <w:t>FR: GE_GERICHTE ATAS/960/2022 du 3 novembre 2022</w:t>
      </w:r>
    </w:p>
    <w:p>
      <w:r>
        <w:t>IT: GE_GERICHTE ATAS/960/2022 del 3 novembre 2022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Le litige porte sur le point de savoir si l'intimé était fondé à considérer que les allocations familiales perçues par le recourant en faveur de ses enfants pour la période du 1er septembre 2015 au 28 février 2019 l’avaient été indûment et à réclamer leur restitution, d'une part, sur le droit aux allocations familiales en faveur des enfants au-delà du 1er mars 2019, d'autre part.</w:t>
      </w:r>
    </w:p>
    <w:p>
      <w:r>
        <w:rPr>
          <w:b/>
        </w:rPr>
        <w:t>E. 3</w:t>
      </w:r>
    </w:p>
    <w:p>
      <w:r>
        <w:t>À titre liminaire, le recourant allègue que le droit de l'intimé de demander la restitution des allocations familiales versées en faveur de C______ est périmé, puisque l'intimé a eu connaissance de l'adresse au Maroc sur l'attestation de scolarité de C______ le 25 juillet 2018, mais n'a demandé la restitution des prestations qu'en date du 20 août 2019.</w:t>
      </w:r>
    </w:p>
    <w:p>
      <w:r>
        <w:rPr>
          <w:b/>
        </w:rPr>
        <w:t>E. 3.1</w:t>
      </w:r>
    </w:p>
    <w:p>
      <w:r>
        <w:t>À teneur de l’art. 25 LPGA, les prestations indûment touchées doivent être restituées, la restitution ne pouvant toutefois être exigée lorsque l’intéressé était de bonne foi et qu’elle le mettrait dans une situation difficile (al. 1er). Le droit de</w:t>
      </w:r>
    </w:p>
    <w:p>
      <w:r>
        <w:t>A/1121/2021 - 9/17 -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3.2</w:t>
      </w:r>
    </w:p>
    <w:p>
      <w:r>
        <w:t>La réglementation prévue par la LPGA reprend sur ce point le contenu des anciens art. 95 al. 4 1ère phrase de la loi sur l’assurance-chômage obligatoire et l’indemnité en cas d’insolvabilité (LACI - RS 837.0) et 47 al. 2 LAVS en vigueur jusqu’au 31 décembre 2002. L'art. 25 LPGA instaure ainsi un délai de péremption relatif d'une année et un délai absolu de cinq ans, au-delà desquels la restitution ne peut plus être exigée (arrêt du Tribunal fédéral 8C_130/2008 du 11 juillet 2008 consid. 3.3). Ces délais doivent être examinés d'office (arrêt du Tribunal fédéral 8C_968/2012 du 18 novembre 2013 consid. 2.2).</w:t>
      </w:r>
    </w:p>
    <w:p>
      <w:r>
        <w:rPr>
          <w:b/>
        </w:rPr>
        <w:t>E. 3.3</w:t>
      </w:r>
    </w:p>
    <w:p>
      <w:r>
        <w:t>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(arrêt du Tribunal fédéral 9C_632/2012 du 10 janvier 2013 consid. 4.2). Ainsi, lorsque des mesures d'instruction sont nécessaires afin de confirmer que des prestations ont été versées indûment, l'autorité doit les mettre en œuvre dans un délai approprié. À titre d'exemple, le Tribunal fédéral a considéré dans le cas de la modification à la suite d'un divorce des bases de calcul d'une rente par une caisse de compensation qu'un délai d'un mois pour rassembler les comptes individuels de l'épouse était largement suffisant (SVR 2004 IV N°41, consid. 4.3). Quant au délai de péremption absolu de cinq ans, il commence à courir à la date du versement effectif de la prestation (arrêt du Tribunal fédéral 8C_616/2009 du 14 décembre 2009 consid. 3.2).</w:t>
      </w:r>
    </w:p>
    <w:p>
      <w:r>
        <w:rPr>
          <w:b/>
        </w:rPr>
        <w:t>E. 3.4</w:t>
      </w:r>
    </w:p>
    <w:p>
      <w:r>
        <w:t>L'obligation de restituer suppose que soient réalisées les conditions d'une reconsidération ou d'une révision procédurale de la décision, formelle ou non par laquelle les prestations en cause ont été allouées (ATF 130 V 318 consid. 5.2 ; arrêt du Tribunal fédéral 9C_371/2012 du 26 octobre 2012 consid. 5.2.1). Aux termes de l'art. 53 al. 2 LPGA, l'assureur peut revenir sur les décisions ou les décisions sur opposition formellement passées en force lorsqu'elles sont</w:t>
      </w:r>
    </w:p>
    <w:p>
      <w:r>
        <w:t>A/1121/2021 - 10/17 -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w:t>
      </w:r>
    </w:p>
    <w:p>
      <w:r>
        <w:rPr>
          <w:b/>
        </w:rPr>
        <w:t>E. 3.5</w:t>
      </w:r>
    </w:p>
    <w:p>
      <w:r>
        <w:t>En l'espèce, l'intimé a effectivement eu connaissance de l'attestation de scolarité du CNED concernant C______, avec la mention de l'adresse au Maroc, le 28 juillet 2018. C'est ce document qui l'a amené à considérer que le jeune garçon était domicilié au Maroc, à nier l'existence d'un domicile en Suisse et, par voie de conséquence, le droit aux allocations. Cela étant, dès qu'il a eu connaissance de cet élément, le SCAF a procédé à des investigations complémentaires afin de vérifier si tous les enfants avaient leur domicile en Suisse durant la période litigieuse, et notamment si C______ avait son domicile au Maroc avant la période pour laquelle ladite attestation de scolarité avait été établie. Dans le cadre de son enquête, il a sollicité du recourant la production de plusieurs documents et lui a laissé l'opportunité de les produire et de s'expliquer. Aussi, conformément à la jurisprudence citée supra, on ne saurait lui reprocher de n'avoir rendu sa décision qu'en date du 20 août 2019, puisque ce n'est qu'à la suite de ces investigations supplémentaires qu'il a pu parvenir à la conclusion que le domicile en Suisse faisait défaut. Dans la mesure où la restitution porte sur la période du 1er septembre 2015 au 28 février 2019, les délais de prescription et de péremption sont respectés.</w:t>
      </w:r>
    </w:p>
    <w:p>
      <w:r>
        <w:rPr>
          <w:b/>
        </w:rPr>
        <w:t>E. 4</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w:t>
      </w:r>
    </w:p>
    <w:p>
      <w:r>
        <w:rPr>
          <w:b/>
        </w:rPr>
        <w:t>E. 4.1</w:t>
      </w:r>
    </w:p>
    <w:p>
      <w:r>
        <w:t>Selon l'art. 4 al. 1 LAFam, dont la teneur est reprise sur le plan cantonal à l'art. 3 al. 1 let. a LAF, donnent droit aux allocations, notamment, les enfants avec lesquels l'ayant droit a un lien de filiation en vertu du Code civil (let. a). Selon l'art. 4 al. 3 LAFam, le Conseil fédéral détermine les conditions d'octroi des allocations pour les enfants vivant à l'étranger (première phrase). En exécution de ce mandat, le Conseil fédéral a adopté l'art. 7 de l'ordonnance du 31 octobre 2007 sur les allocations familiales (OAFam ; RS 836.21) qui, sous le titre « enfants à l’étrangers », prévoit à son alinéa premier que, pour les enfants ayant leur domicile à l’étranger, les allocations familiales ne sont versées que si une convention internationale le prévoit.</w:t>
      </w:r>
    </w:p>
    <w:p>
      <w:r>
        <w:t>A/1121/2021 - 11/17 -</w:t>
      </w:r>
    </w:p>
    <w:p>
      <w:r>
        <w:rPr>
          <w:b/>
        </w:rPr>
        <w:t>E. 5</w:t>
      </w:r>
    </w:p>
    <w:p>
      <w:r>
        <w:t>Pour définir la notion de domicile dans le domaine des assurances sociales, l’art. 13 al. 1 LPGA (applicable au domaine des allocations familiales selon l'art. 1 LAFam) renvoie aux art. 23 à 26 CC (code civil suisse du 10 décembre 1907 ; RS 210).</w:t>
      </w:r>
    </w:p>
    <w:p>
      <w:r>
        <w:rPr>
          <w:b/>
        </w:rPr>
        <w:t>E. 5.1</w:t>
      </w:r>
    </w:p>
    <w:p>
      <w:r>
        <w:t>En vertu de l’art. 23 al. 1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consid. 3). En vertu des principes susmentionnés,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w:t>
      </w:r>
    </w:p>
    <w:p>
      <w:r>
        <w:t>A/1121/2021 - 12/17 - références citées ; voir aussi HONSELL/VOGT/GEISER, Basler Kommentar zum schweizerischen Privatrecht, Zivilgesetzbuch I, 2ème éd., n. 23 ad. art. 23).</w:t>
      </w:r>
    </w:p>
    <w:p>
      <w:r>
        <w:rPr>
          <w:b/>
        </w:rPr>
        <w:t>E. 5.2</w:t>
      </w:r>
    </w:p>
    <w:p>
      <w:r>
        <w:t>Selon l'art. 25 al. 1 CC, l’enfant sous autorité parentale partage le domicile de ses père et mère ou, en l’absence de domicile commun des père et mère, le domicile de celui de ses parents qui a le droit de garde ; subsidiairement, son domicile est déterminé par le lieu de sa résidence.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Lorsque des époux conservent leur domicile en Suisse, bien que l’un des conjoints travaille à l’étranger, le domicile est présumé se trouver en Suisse pour le mari et la femme si l’appartement est habité par l’autre conjoint (le cas échéant, par les enfants) et que la vie commune des époux n’a pas été suspendue (art. 137 al. 1 et 175 CC ; chiffre 1029 des Directives sur l’assujettissement aux assurances AVS et AI - DAA).</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w:t>
      </w:r>
    </w:p>
    <w:p>
      <w:r>
        <w:t>A/1121/2021 - 13/17 -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rPr>
          <w:b/>
        </w:rPr>
        <w:t>E. 7.1</w:t>
      </w:r>
    </w:p>
    <w:p>
      <w:r>
        <w:t>En l'espèce, il est admis à juste titre par l’intimé, que C______ est domicilié à Genève, au plus tard depuis le 1er août 2019 et que G______ et F______ le sont depuis le 1er août 2020, ce qui est corroboré notamment par les attestations de leurs établissements scolaires respectifs. Seules restent donc litigieuses les périodes suivantes : - pour C______ : du 1er septembre 2015 au 31 juillet 2019 ; - pour E______ et D______ : du 1er septembre 2015 au 25 février 2021 ; - pour G______ et F______ : de juillet 2016 au 31 juillet 2020. Les enfants étant tous mineurs durant la période les concernant, ils demeuraient sous l’autorité parentale conjointe et la garde de leurs parents. Il en résulte, en principe, que leur domicile légal était dérivé de celui de leurs parents. C’est donc le domicile de ceux-ci qu’il convient de déterminer.</w:t>
      </w:r>
    </w:p>
    <w:p>
      <w:r>
        <w:rPr>
          <w:b/>
        </w:rPr>
        <w:t>E. 7.2</w:t>
      </w:r>
    </w:p>
    <w:p>
      <w:r>
        <w:t>À cet égard, il est établi (et au demeurant non contesté par l’intimé) que, depuis le départ de la famille de Saint-Cergue, en juillet 2015, le recourant a constitué et maintenu son domicile à Genève, où il a résidé régulièrement (en dehors de ses deux congés sans solde, du 29 août 2015 au 29 février 2016 et du 1er mai au 30 novembre 2016), travaillé et maintenu ses centres d’intérêts. Au-delà de la conservation de son emploi, la régularité de sa présence en Suisse est notamment attestée par la production de ses extraits bancaires, son livret de récépissés de la Poste et ses relevés téléphoniques. L’intention de s’y fixer, notamment par l’affiliation auprès d’assureurs-maladie en Suisse, l’achat et l’immatriculation de plusieurs véhicules à Genève au fil du temps, le suivi médical de toute la famille à Genève, l’inscription du 30 août 2018 auprès du SFIDP en vue d’obtenir un logement de 5 à 6 pièces dans le canton, puis la signature d’un bail débutant le 1er mai 2020. Contrairement à ce qu’allègue l’intimé, le fait que l’inscription auprès du SFIDP n’ait été faite qu’en 2018 ne saurait démontrer un manque de volonté de demeurer à Genève avant cette date, dans la mesure où il n’était de toute manière pas possible d’obtenir un logement subventionné moins de quatre ans avant le début du séjour dans le canton (art. 31B al. 3 loi générale sur le logement et la protection des locataires du 4 décembre 1977 [LGL - I 4 05] et art. 6 al. 1 let. b règlement d'exécution de la loi générale sur le logement et la protection des locataires du 24 août 1992 [RGL - I 4 05.01]).</w:t>
      </w:r>
    </w:p>
    <w:p>
      <w:r>
        <w:t>A/1121/2021 - 14/17 -</w:t>
      </w:r>
    </w:p>
    <w:p>
      <w:r>
        <w:rPr>
          <w:b/>
        </w:rPr>
        <w:t>E. 7.3</w:t>
      </w:r>
    </w:p>
    <w:p>
      <w:r>
        <w:t>Le domicile à Genève du recourant ne prêtant pas à débat, il en découle, a fortiori, que tel est également le cas de son épouse (cf. notamment chiffre 1029 DAA précité) et donc des enfants. Les divers éléments figurant au dossier confirment amplement cette présomption.</w:t>
      </w:r>
    </w:p>
    <w:p>
      <w:r>
        <w:rPr>
          <w:b/>
        </w:rPr>
        <w:t>E. 7.3.1</w:t>
      </w:r>
    </w:p>
    <w:p>
      <w:r>
        <w:t>Tout d’abord, et sans que cet élément ne soit à lui seul déterminant, les pièces produites permettent d’établir une présence régulière à Genève de Mme B______ et des enfants : - Durant l'année 2016 : La présence à Genève de l’épouse du recourant et des enfants est attestée par ses relevés bancaires (pièce 16 rec.) et par diverses factures médicales concernant tous les membres de la famille, du 15 janvier (extrait bancaire - pièce 16 rec.) au 13 décembre (décompte de pharmacie - pièce 8 rec.), sans interruption notable. G______ et F______ naissent en outre à Genève le 15 juillet et y seront suivies médicalement jusqu'à fin octobre (pièces 12 et 13 rec.). - Durant l’année 2017 : Il y a des traces régulières de la présence à Genève de Mme B______ et des jumelles, du 17 janvier à fin mars 2017 (rendez-vous médicaux, factures de pharmacie et paiements avec la carte bancaire – pièces 8, 12, 13 et 16 rec.), puis en juillet et août (cf. relevés bancaires et factures médicales). On retrouve, le 18 décembre 2017, un achat en pharmacie d’un médicament pris en charge par l’assurance obligatoire pour Mme B______, (pièce 8 rec.). - Durant l’année 2018 : E______ a eu un accident au Maroc le 5 janvier 2018. Il s’est présenté à des rendez-vous médicaux à Genève les 17 juillet et 11 décembre (pièce 10 rec.). Il y a pour le surplus des traces de Mme B______ à Genève dès le 2 mars jusqu’à fin août, puis à nouveau à partir du 31 octobre (rendez-vous médical – pièce 12 rec.), jusqu’à la fin de l’année (cf. notamment pièce 16). On trouve des traces de tous les enfants (rendez-vous médicaux et achat de trois abonnements mensuels juniors auprès des Transports publics genevois [TPG]). Les factures médicales permettent enfin d’établir la présence de F______ en août, des jumelles en novembre et d’E______, F______ et C______ en décembre (pièces 9, 10, 12, 13 rec.). - Durant l’année 2019 : En recoupant les documents bancaires et médicaux, des traces de la présence de Mme B______ ou des jumelles apparaissent à Genève tous les mois entre février et août, puis en novembre et décembre (pièce 8, 12, 13 et 16 rec.). Concernant C______, les décomptes de prestation de l’assureur-maladie démontrent sa présence à Genève le 25 mars, puis à plusieurs reprises au cours du mois de juillet (pièce 9 rec.). En août, il commence l'école à Genève. Concernant E______, de nombreuses factures médicales attestent de sa présence à Genève de mi-octobre à début novembre (pièce 10 rec.).</w:t>
      </w:r>
    </w:p>
    <w:p>
      <w:r>
        <w:t>A/1121/2021 - 15/17 - - Durant l'année 2020 : Le nouveau contrat de bail de la famille débute le 1er mai 2020 (pièce 7 rec.) et les jumelles commencent l’école à Genève au mois d'août. Pour le surplus, des factures médicales permettent d’établir la présence d’E______ en mai et en novembre (pièce 10 rec.), de C______ en janvier (pièce 9 rec.), de D______ en mai et d’août à novembre (pièce 11 rec.), de G______ en avril (pièce 10 rec.), de Mme B______ en mars, avril et juillet (pièce 8 rec.). La présence de cette dernière à Genève est également attestée en avril et juin sur la base de son relevé bancaire (pièce 16 rec.). Ces différents éléments démontrent la présence régulière et relativement constante à Genève de Mme B______ et de ses enfants mineurs durant la période litigieuse. En outre, les relevés bancaires de l’épouse du recourant révèlent que, même lorsqu’elle n’est pas à Genève, elle se déplace de manière régulière, non seulement au Maroc, mais également aux Pays-Bas (dans sa famille) et en France, ce qui rend encore moins évidente la constitution d’un nouveau domicile légal à Marrakech (et donc la perte d’un domicile en Suisse), comme le soutient l’intimé.</w:t>
      </w:r>
    </w:p>
    <w:p>
      <w:r>
        <w:rPr>
          <w:b/>
        </w:rPr>
        <w:t>E. 7.3.2</w:t>
      </w:r>
    </w:p>
    <w:p>
      <w:r>
        <w:t>Au-delà de la fréquence et de la durée de la présence en Suisse de Mme B______, les éléments figurant au dossier tendent à démontrer également une intention, partagée par les deux parents, que la famille maintienne son centre de vie et d’intérêts à Genève. Ainsi, depuis 2015, la famille A______ et B______ a toujours été inscrite auprès de l’OCPM à Genève. Elle y a maintenu ses assurances-maladie, payé ses impôts, conservé des comptes courants, procédé au suivi médical, tant des parents que des enfants. Les époux A______ et B______ ont également toujours possédé deux véhicules immatriculés à Genève, depuis janvier 2017, soit moins de deux mois après le retour de congé sabbatique du recourant. Ils ont ainsi eu deux voitures de janvier 2017 à août 2018, puis une voiture et un scooter à partir de septembre 2018. Enfin, tous leurs enfants inscrits en présentiel dans un établissement l’ont été à Genève, notamment les jumelles, qui y ont commencé leur scolarité obligatoire. À cet égard, il sied également de relever que les explications données d’emblée par les parents quant au choix, pour leurs aînés, d’un enseignement à distance, prodigué par une institution française, sont convaincantes et ne remettent pas en question leur lien avec Genève.</w:t>
      </w:r>
    </w:p>
    <w:p>
      <w:r>
        <w:rPr>
          <w:b/>
        </w:rPr>
        <w:t>E. 7.3.3</w:t>
      </w:r>
    </w:p>
    <w:p>
      <w:r>
        <w:t>Au final, il apparaît que les nombreux déplacements de Mme B______ et de ses enfants mineurs hors de Suisse, alors que son mari demeurait à Genève, ne témoignent aucunement d’un déplacement de leur centre de vie à l’étranger, mais tout au plus d’un changement temporaire de mode de vie, moins sédentaire, durant quelques années, à un moment où la situation scolaire des enfants semblait le permettre. Dans ce contexte, les fréquents déplacements de toute la famille (sauf le recourant) ne suffisent pas à remettre en question la présomption du domicile genevois de la mère et donc de ses enfants mineurs.</w:t>
      </w:r>
    </w:p>
    <w:p>
      <w:r>
        <w:t>A/1121/2021 - 16/17 -</w:t>
      </w:r>
    </w:p>
    <w:p>
      <w:r>
        <w:rPr>
          <w:b/>
        </w:rPr>
        <w:t>E. 8</w:t>
      </w:r>
    </w:p>
    <w:p>
      <w:r>
        <w:t>Au vu de ces éléments, c’est à tort que l’intimé a considéré que l’épouse et les enfants du recourant avaient transféré leur domicile de Genève au Maroc en juillet 2015. C’est donc également à tort qu’il a, sur cette base, interrompu le versement des allocations familiales en faveur des enfants et sollicité le remboursement d’une somme de CHF 57'400.-. En effet, il est constaté que le domicile légal de C______, E______ et D______ AB______ s’est toujours situé à Genève, sans interruption, depuis le 12 juillet 2015, tout comme celui de G______, F______ depuis leur naissance, le 15 juillet 2016. Les allocations familiales versées au recourant de septembre 2015 à février 2019 l'ont donc été à juste titre. Par conséquent, le recours est admis et la décision du 25 février 2021 annulée. Il est en outre ordonné à l’intimé de reprendre le versement au recourant des allocations familiales en faveur des enfants C______, E______, D______, G______ et F______ dès mars 2019. La cause est renvoyée à l’intimé pour calcul des montants dus à titre rétroactif au recourant.</w:t>
      </w:r>
    </w:p>
    <w:p>
      <w:r>
        <w:rPr>
          <w:b/>
        </w:rPr>
        <w:t>E. 9</w:t>
      </w:r>
    </w:p>
    <w:p>
      <w:r>
        <w:t>Le recourant, représenté par un mandataire, obtient gain de cause, de sorte qu'il a droit à une indemnité de dépens, que la Cour de céans fixe en l'occurrence à CHF 2'500.- (art. 89H al. 3 de la loi sur la procédure administrative du</w:t>
      </w:r>
    </w:p>
    <w:p>
      <w:r>
        <w:rPr>
          <w:b/>
        </w:rPr>
        <w:t>E. 12</w:t>
      </w:r>
    </w:p>
    <w:p>
      <w:r>
        <w:t>septembre 1985 [LPA - E 5 10]; art. 6 du règlement sur les frais, émoluments et indemnités en procédure administrative du 30 juillet 1986 [RFPA - E 5 10.03]).</w:t>
      </w:r>
    </w:p>
    <w:p>
      <w:r>
        <w:t>A/1121/2021 - 17/17 -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