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ATAS/960/2008 vom 5. März 2008</w:t>
      </w:r>
    </w:p>
    <w:p>
      <w:r>
        <w:t>GE Cour de justice, 2008-03-05, FR</w:t>
      </w:r>
    </w:p>
    <w:p>
      <w:r>
        <w:rPr>
          <w:b/>
        </w:rPr>
        <w:t xml:space="preserve">Quelle: </w:t>
      </w:r>
      <w:r>
        <w:t>https://mcp.opencaselaw.ch/entscheid/ge_gerichte_ATAS_960_2008</w:t>
      </w:r>
    </w:p>
    <w:p>
      <w:r>
        <w:t>FR: GE_GERICHTE ATAS/960/2008 du 5 mars 2008</w:t>
      </w:r>
    </w:p>
    <w:p>
      <w:r>
        <w:t>IT: GE_GERICHTE ATAS/960/2008 del 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La recourante conteste le calcul de sa rente d'invalidé.</w:t>
      </w:r>
    </w:p>
    <w:p>
      <w:r>
        <w:rPr>
          <w:b/>
        </w:rPr>
        <w:t>E. 5</w:t>
      </w:r>
    </w:p>
    <w:p>
      <w:r>
        <w:t>Conformément à l'art. 36 al. 1 LAI, ont droit aux rentes ordinaires les assurés qui, lors de la survenance de l'invalidité, comptent une année entière au moins de cotisations. Les dispositions de la LAVS sont applicables par analogie au calcul des rentes ordinaires (art. 36 al. 2 LAI). Le montant des rentes d'invalidité correspond au montant des rentes de vieillesse de l'assurance-vieillesse et survivants (art. 37 al. 1 LAI). Aux termes de l'art. 29 al. 1 LAVS, peuvent prétendre à une rente ordinaire tous les ayants droit auxquels il est possible de porter en compte au moins une année entière de revenus, de bonifications pour tâches éducatives ou pour tâches d'assistance, ou leurs survivants. Les rentes sont servies sous forme de rentes complète aux assurés qui comptent une durée complète de cotisations et de rentes partielles aux assurés qui comptent une durée incomplète de cotisation (art. 29 al. 2 LAVS). Selon l'art. 29bis LAVS, le calcul de la rente est déterminé par les années de cotisations, les revenus provenant d'une activité lucrative ainsi que les bonifications pour tâches éducatives ou pour tâches d'assistance entre le 1er janvier qui suit la</w:t>
      </w:r>
    </w:p>
    <w:p>
      <w:r>
        <w:t>A/996/2008 - 4/5 - date où l'ayant droit a eu 20 ans révolus et le 31 décembre qui précède la réalisation du risque assuré, soit en l'occurrence la survenance de l'invalidité. Conformément à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par pris en considération pour le calcul de la rente. Enfin, selon l'art. 53 al. 3 LPGA, jusqu'à l'envoi de son préavis à l'autorité de recours, l'assureur peut reconsidérer une décision ou une décision sur opposition contre laquelle un recours a été formé.</w:t>
      </w:r>
    </w:p>
    <w:p>
      <w:r>
        <w:rPr>
          <w:b/>
        </w:rPr>
        <w:t>E. 6</w:t>
      </w:r>
    </w:p>
    <w:p>
      <w:r>
        <w:t>En l'espèce, il résulte de la feuille de calcul établie par la caisse que la décision querellée était fondée sur une durée de cotisations de 18 ans et 11 mois. En effet, la recourante, d'origine espagnole, a commencé à cotiser en Suisse en 1986. Compte tenu de 7 mois de cotisations dans l'année d'ouverture du droit à la rente (mois d'appoint, cf. art. 52c RAVS), c'est une durée de cotisations de 19 années entières qui a pu être retenue, qui a déterminé une échelle de rente 31. Concernant les revenus, le Tribunal de céans constate qu'après les interventions de la recourante, la caisse a effectué des recherches complémentaires qui ont permis de porter en compte des revenus complémentaires pour le mois juillet 1986 et les mois d'août à décembre 2000. Ainsi, le revenu annuel moyen déterminant a été porté à 43'758 fr. en 2007, donnant droit à une rente d'invalidité de 1'221 fr. par mois depuis le 1er juillet 2007 (cf. pièce no. 13 chargé intimé). L'intimé a en conséquence notifié en date du 16 avril 2008 une nouvelle décision à la recourante, annulant et remplaçant la précécente. Pour le surplus, la recourante n'apporte aucun élément nouveau susceptible de modifier les éléments retenus par la caisse après les investigations complémentaires. Partant, le recours doit être rejeté.</w:t>
      </w:r>
    </w:p>
    <w:p>
      <w:r>
        <w:rPr>
          <w:b/>
        </w:rPr>
        <w:t>E. 7</w:t>
      </w:r>
    </w:p>
    <w:p>
      <w:r>
        <w:t>La recourante, représentée par un mandataire, a droit à une indemnité à titre de participation à ses frais et dépens, que le Tribunal fixe en l'espèce à 500 fr. (art. 61 let. g LPGA).</w:t>
      </w:r>
    </w:p>
    <w:p>
      <w:r>
        <w:t>A/996/2008 - 5/5 -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