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ATAS/95/2020 vom 6. Februar 2020</w:t>
      </w:r>
    </w:p>
    <w:p>
      <w:r>
        <w:t>GE Cour de justice, 2020-02-06, FR</w:t>
      </w:r>
    </w:p>
    <w:p>
      <w:r>
        <w:rPr>
          <w:b/>
        </w:rPr>
        <w:t xml:space="preserve">Quelle: </w:t>
      </w:r>
      <w:r>
        <w:t>https://mcp.opencaselaw.ch/entscheid/ge_gerichte_ATAS_95_2020</w:t>
      </w:r>
    </w:p>
    <w:p>
      <w:r>
        <w:t>FR: GE_GERICHTE ATAS/95/2020 du 6 février 2020</w:t>
      </w:r>
    </w:p>
    <w:p>
      <w:r>
        <w:t>IT: GE_GERICHTE ATAS/95/2020 del 6 febbraio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Il convient en premier lieu d’examiner la recevabilité du recours. a.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b.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w:t>
      </w:r>
    </w:p>
    <w:p>
      <w:r>
        <w:t>A/1317/2019 - 7/12 -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w:t>
      </w:r>
    </w:p>
    <w:p>
      <w:r>
        <w:rPr>
          <w:b/>
        </w:rPr>
        <w:t>E. 3</w:t>
      </w:r>
    </w:p>
    <w:p>
      <w:r>
        <w:t>Selon l’art. 938a al. 1 de la loi fédérale du 30 mars 1911, complétant le Code civil suisse (CO, Code des obligations - RS 220), lorsqu’une société n’exerce plus d’activités et n’a plus d’actifs réalisables, le préposé au registre du commerce peut la radier après une triple sommation publique demeurée sans résultat. En vertu de l’art. 155 al. 3 de l’ordonnance sur le registre du commerce du 17 octobre 2007 (ORC – RS 221.411), lorsque personne n’a fait valoir d’intérêt au maintien de l’inscription dans les 30 jours à partir de la dernière publication de la sommation, l’office du registre du commerce radie l’entité juridique. Selon une ancienne jurisprudence (ATF 42 III 37 ; ATF 64 II 150 ; ATF 73 III 61),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(ATF 132 III 731 consid. 3.1). Enfin, dans un arrêt rendu en 2010, le Tribunal fédéral a relevé que la radiation au registre du commerce conduit à présumer que la liquidation est terminée et que la société a cessé d'exister (arrêt du Tribunal fédéral 4A_16/2010 du 6 avril 2010 consid. 5.1.2). La radiation du registre du commerce a également pour effet que la société cesse d’avoir la capacité active et passive d’agir en justice (François RAYROUX, in Pierre TERCIER/Marc AMSTUTZ (éd.), Commentaire romand du Code des obligations II, 2008, n° 6 ad art. 746 CO et les références citées). En outre, la</w:t>
      </w:r>
    </w:p>
    <w:p>
      <w:r>
        <w:t>A/1317/2019 - 8/12 - personne morale radiée du registre du commerce perd la capacité d’être partie, c’est-à-dire la faculté d’être désignée comme demanderesse ou défenderesse dans un procès (Nicolas JEANDIN, Commentaire romand, Code de procédure civile, nos 1 à 4 ad art. 66 CPC).</w:t>
      </w:r>
    </w:p>
    <w:p>
      <w:r>
        <w:rPr>
          <w:b/>
        </w:rPr>
        <w:t>E. 4</w:t>
      </w:r>
    </w:p>
    <w:p>
      <w:r>
        <w:t>En l’occurrence, la décision sur opposition annexée au recours, datée du 5 mars 2019, a été adressée à la société : elle déclare sans objet l’opposition formée par la société, le 19 juillet 2016, aux décisions qui lui avaient été adressées le 11 juillet 2016 et lui réclamaient le versement de divers montants à titre d’arriérés de cotisations AVS/AI/APG/AC/Amat et de contributions aux allocations familiales pour les années 2011 à 2014. Dans son recours – qu’il n’a pas interjeté au nom de la société, radiée du registre du commerce, mais en son nom propre, ce qui justifie d’emblée que la désignation de la partie recourante soit rectifiée en ce sens (sur la désignation inexacte d’une partie, cf. ATF 131 I 57 consid. 2.2 ; arrêt du Tribunal fédéral 4A_17/2016 du 29 juin 2016 consid. 2.2) –, M. A______ conclut, d’une part, à l’annulation de la décision sur opposition du 5 mars 2019, d’autre part, à ce que la juridiction de céans « oblige l’OCAS à statuer sur le fonds de l’opposition faite avec tous les moyens de recours par la personne physique ».</w:t>
      </w:r>
    </w:p>
    <w:p>
      <w:r>
        <w:rPr>
          <w:b/>
        </w:rPr>
        <w:t>E. 5</w:t>
      </w:r>
    </w:p>
    <w:p>
      <w:r>
        <w:t>S’agissant en premier lieu de la conclusion tendant à l’annulation de la décision sur opposition du 5 mars 2019, la Cour de céans constate que M. A______ ne dispose pas de la qualité pour recourir contre la décision en question, qui ne lui a pas été adressée personnellement, mais l’a été à la société dont il était jadis l’associé-gérant. À ce propos, on précisera que le nom de M. A______ n’apparaît nulle part dans cette décision sur opposition. Dès lors, seule la société disposerait théoriquement de la qualité pour recourir contre la décision du 5 mars 2019, même si en pratique, cela n’est plus possible, étant donné que cette société a été radiée du registre du commerce. C’est le lieu de préciser que, dans la procédure distincte dirigée contre M. A______ personnellement, aucune décision sur opposition n’a été rendue à ce jour. Dans son recours, dirigé contre la décision sur opposition adressée à la société le 5 mars 2019, M. A______ n’expose pas en quoi résiderait son intérêt (propre) au recours, ni en quoi les conditions restrictives qui permettraient d’admettre sa qualité pour recourir en tant que tiers seraient réalisées (cf. supra consid. 2b in fine). M. A______ ne disposant pas de la qualité pour recourir contre la décision sur opposition adressée à la société, son recours doit être déclaré irrecevable en tant qu’il est dirigé contre cette décision sur opposition. En tout état de cause et indépendamment de la question de la qualité pour recourir qui vient d’être évoquée, il convient de relever une fois encore que la société n’existe plus, depuis sa radiation du registre du commerce, publiée dans la FOSC du 11 septembre 2017. En conséquence, depuis cette date, la société ne dispose plus de la capacité d’être partie à une procédure administrative ou judiciaire, de sorte que la caisse intimée était en toute hypothèse fondée à déclarer sans objet l’opposition qu’avait formée cette société le 20 juillet 2016, alors que cette dernière</w:t>
      </w:r>
    </w:p>
    <w:p>
      <w:r>
        <w:t>A/1317/2019 - 9/12 - n’avait pas encore été radiée du registre du commerce (cf. supra consid. 3 ; ATAS 867/2017 du 14 septembre 2017 consid. 3).</w:t>
      </w:r>
    </w:p>
    <w:p>
      <w:r>
        <w:rPr>
          <w:b/>
        </w:rPr>
        <w:t>E. 5.2</w:t>
      </w:r>
    </w:p>
    <w:p>
      <w:r>
        <w:t>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e. Lorsqu’il invoque un déni de justice formel, le recourant doit être en mesure de faire valoir un intérêt actuel et pratique à l'admission de son recours (ATF 131 I 153 consid. 1.2). Cet intérêt doit exister tant au moment du dépôt du recours qu'au moment où l'arrêt est rendu (arrêt du Tribunal fédéral 8C_387/2016 du 24 juin 2016).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6</w:t>
      </w:r>
    </w:p>
    <w:p>
      <w:r>
        <w:t>a. En second lieu, le recourant conclut à ce que la juridiction de céans « oblige l’OCAS à statuer sur le fond à l’opposition faite […] par la personne physique ». À la lumière des explications données par le recourant dans ses écritures, cette conclusion peut être interprétée dans le sens d’un recours pour déni de justice, au sens de l’art. 56 al. 2 LPGA, lequel est susceptible d’être interjeté en tout temps (Jean MÉTRAL, in Dupont/Moser-Szeless (éd.), Commentaire romand de la LPGA, 2018, n°50 ad art. 56 LPGA). Sur ce point, le recours est donc recevable. Il reste ainsi à examiner si le grief de déni de justice est fondé. b.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c. 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Si l’autorité rend une décision formelle par laquelle elle constate l’irrecevabilité de la demande, sa décision peut faire l’objet d’un recours ordinaire aux conditions de l’art. 56 al. 1 LPGA et non d’un recours pour déni de justice au sens de l’art. 56 al. 2 LPGA (MÉTRAL, op. cit., n°48 ad art. 56 LPGA). d.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w:t>
      </w:r>
    </w:p>
    <w:p>
      <w:r>
        <w:t>A/1317/2019 - 10/12 -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w:t>
      </w:r>
    </w:p>
    <w:p>
      <w:r>
        <w:rPr>
          <w:b/>
        </w:rPr>
        <w:t>E. 7</w:t>
      </w:r>
    </w:p>
    <w:p>
      <w:r>
        <w:t>a. En l’occurrence, sous l’angle du déni de justice, le recourant reproche à la caisse de ne pas avoir rendu de décision sur opposition dans la procédure distincte initiée contre lui personnellement, en sa qualité d’ancien associé-gérant de la société. On rappellera que dans cette procédure parallèle, le recourant s’est opposé à une première décision en réparation du dommage, qui lui a été personnellement adressée le 20 août 2018. Dans son recours, l’intéressé fait valoir que « […] le fait de ne pas statuer sur le fond ouvre une créance contre le gérant de la société en faillite, soit moi-même. Cette manière de faire […] ne laisse pas la possibilité à la</w:t>
      </w:r>
    </w:p>
    <w:p>
      <w:r>
        <w:t>A/1317/2019 - 11/12 - personne physique de se défendre. […] Même si la société a été radiée, l’OCAS doit statuer sur le recours (recte : l’opposition) en vue de respecter les droits du gérant ». Ce faisant, le recourant se plaint implicitement d’un refus de statuer par la caisse intimée. b. Toutefois, contrairement à ce que le recourant semble croire, la caisse n’a pas refusé de rendre une décision sur opposition dans la procédure dirigée contre lui. Bien au contraire, elle annonce vouloir statuer d’ici fin février 2020, sur l’opposition formée le 28 août 2018 contre la décision qu’elle a adressée au recourant le 20 août 2018. c. Il convient de relever que si le recours pour déni de justice n’est pas formellement devenu sans objet, dans la mesure où l’intimée n’a pas encore statué, il n’en demeure pas moins qu’elle s’est engagée à rendre une décision sur opposition d’ici fin février 2020, c’est-à-dire à brève échéance. En tout état de cause, la Cour de céans observe que si le délai de sept mois écoulé entre l’opposition formée par M. A______ et son recours pour déni de justice peut paraître long, de même qu’a fortiori, les dix mois supplémentaires passés entre le dépôt dudit recours et le prononcé du présent arrêt, la durée de la procédure, dans son ensemble, ne saurait être qualifiée de déraisonnable, vu les circonstances de la cause et plus particulièrement la nécessité pour la caisse d’instruire l’opposition, y compris de réexaminer les rapports de contrôle, mais également l’apparente complexité du litige et le fait que la Cour de céans ait parallèlement été saisie d’un recours contre la décision sur opposition adressée à la société. En effet, le sort dudit recours aurait pu influencer l’issue de l’opposition formée par le recourant, en particulier dans l’éventualité où la juridiction cantonale se serait prononcée sur le bien-fondé des sommes réclamées par la caisse. Dans ces circonstances, on ne saurait conclure à un retard injustifié de l’intimée à statuer, malgré le délai relativement long qui s’est déjà écoulé depuis le dépôt de l’opposition (arrêts du Tribunal fédéral 9C_448/2014 du 4 septembre 2014 consid. 7 et 9C_547/2015 du 22 avril 2016 consid. 6.2).</w:t>
      </w:r>
    </w:p>
    <w:p>
      <w:r>
        <w:rPr>
          <w:b/>
        </w:rPr>
        <w:t>E. 8</w:t>
      </w:r>
    </w:p>
    <w:p>
      <w:r>
        <w:t>Partant, dans la mesure où il a pour objet la constatation d’un déni de justice, le recours doit être rejeté. La procédure est gratuite (art. 89H al. 1 LPA). * * * * * *</w:t>
      </w:r>
    </w:p>
    <w:p>
      <w:r>
        <w:t>A/1317/2019 - 12/12 - PAR CES MOTIFS, LA CHAMBRE DES ASSURANCES SOCIALES : Statuant Préalablement : 1. Rectifie la désignation de la partie recourante, en ce sens que le recours a été interjeté par A______ et non par B______ SÀRL. À la forme : 2. Déclare le recours irrecevable en tant qu’il porte sur la décision sur opposition du 5 mars 2019. 3. Déclare le recours recevable en tant qu’il porte sur un déni de justice. Au fond : 4. Rejette le recours pour déni de justice.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