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ATAS/95/2019 vom 11. Februar 2019</w:t>
      </w:r>
    </w:p>
    <w:p>
      <w:r>
        <w:t>GE Cour de justice, 2019-02-11, FR</w:t>
      </w:r>
    </w:p>
    <w:p>
      <w:r>
        <w:rPr>
          <w:b/>
        </w:rPr>
        <w:t xml:space="preserve">Quelle: </w:t>
      </w:r>
      <w:r>
        <w:t>https://mcp.opencaselaw.ch/entscheid/ge_gerichte_ATAS_95_2019</w:t>
      </w:r>
    </w:p>
    <w:p>
      <w:r>
        <w:t>FR: GE_GERICHTE ATAS/95/2019 du 11 février 2019</w:t>
      </w:r>
    </w:p>
    <w:p>
      <w:r>
        <w:t>IT: GE_GERICHTE ATAS/95/2019 del 11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délai prévus par la loi, est recevable (art. 56 à 60 LPGA).</w:t>
      </w:r>
    </w:p>
    <w:p>
      <w:r>
        <w:rPr>
          <w:b/>
        </w:rPr>
        <w:t>E. 3</w:t>
      </w:r>
    </w:p>
    <w:p>
      <w:r>
        <w:t>Le litige porte sur le point de savoir si l’état de santé de la recourante a évolué dans une mesure lui ouvrant droit à des prestations depuis le 7 novembre 2008, date de la dernière décision examinant au fond son droit à des prestations d’invalidité sous l’angle de sa capacité de gain médico-théorique. En effet,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 29 juillet 2014 consid. 2.2).</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w:t>
      </w:r>
    </w:p>
    <w:p>
      <w:r>
        <w:t>A/568/2017 - 12/21 -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w:t>
      </w:r>
    </w:p>
    <w:p>
      <w:r>
        <w:t>A/568/2017 - 13/21 -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(arrêt du Tribunal fédéral 9C_699/2011 du 21 mai 2012 consid. 4.2).</w:t>
      </w:r>
    </w:p>
    <w:p>
      <w:r>
        <w:rPr>
          <w:b/>
        </w:rPr>
        <w:t>E. 6</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w:t>
      </w:r>
    </w:p>
    <w:p>
      <w:r>
        <w:t>A/568/2017 - 14/21 - disposait des ressources psychiques lui permettant de surmonter cet état (ATF 132 V 65 consid. 5.1).</w:t>
      </w:r>
    </w:p>
    <w:p>
      <w:r>
        <w:rPr>
          <w:b/>
        </w:rPr>
        <w:t>E. 7</w:t>
      </w:r>
    </w:p>
    <w:p>
      <w:r>
        <w:t>Dans un arrêt récent (ATF 141 V 281), le Tribunal fédéral a abandonné la présomption qui prévalait jusqu’alors, selon laquelle les syndromes du type troubles somatoformes douloureux et affections psychosomatiques assimilées peuvent en règle générale être surmontés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w:t>
      </w:r>
    </w:p>
    <w:p>
      <w:r>
        <w:t>A/568/2017 - 15/21 -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A/568/2017 - 16/21 -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8</w:t>
      </w:r>
    </w:p>
    <w:p>
      <w:r>
        <w:t>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t>A/568/2017 - 17/21 -</w:t>
      </w:r>
    </w:p>
    <w:p>
      <w:r>
        <w:rPr>
          <w:b/>
        </w:rPr>
        <w:t>E. 9</w:t>
      </w:r>
    </w:p>
    <w:p>
      <w:r>
        <w:t>En l’espèce, en ce qui concerne l’expertise psychiatrique, il faut relever en premier lieu que l’expert ne paraît pas avoir analysé la capacité de travail de la recourante conformément aux nouveaux critères d’examen dégagés par le Tribunal fédéral, bien que dite expertise ait été réalisée postérieurement à cette jurisprudence. En outre, l’expertise du Dr L______ est par trop succincte pour emporter la conviction. En effet, le status extrêmement bref se borne pour l’essentiel à écarter certains troubles ou symptômes. Ce médecin nie par ailleurs l’existence d’un état dépressif caractérisé, affirmant que les critères diagnostiques d’une telle atteinte ne sont pas réalisés, sans toutefois exposer ces critères ni motiver leur exclusion. S’agissant des éléments objectifs relatés – tels que les pleurs et la tristesse à l’évocation du moral – ou les plaintes rapportées par la recourante, l’expert psychiatre se contente de les mentionner, mais ne procède à aucune appréciation de leur éventuelle incidence sur la capacité de travail. Il n’expose en particulier pas ce qui lui permet d’en faire abstraction dans ce contexte. De plus, ses conclusions quant à l’absence de limitations dans la vie quotidienne et au caractère satisfaisant de la vie sociale de la recourante ne sont guère convaincantes. En effet, elles contrastent singulièrement avec le descriptif donné par l’assurée de ses journées, lors desquelles la recourante ne semble pas s’adonner à d’autres activités que de regarder la télévision. Sur ce point, il est vrai que les déclarations de la recourante, qui a affirmé ne pas savoir utiliser Internet lors de son audition, tout en indiquant dans son écriture du 21 juin 2016 qu’elle consultait épisodiquement son compte Facebook, ne sont pas totalement dépourvues de contradictions. Il n’en reste pas moins que, selon ses déclarations, son cercle social paraît extrêmement restreint, à l’instar de ses centres d’intérêts et de ses activités. Si l’expertise parvient certes à une appréciation différente, elle ne l’étaye par aucun exemple concret d’activités ou de contacts sociaux. Ces éléments semblent évocateurs d’un fort repli social, qui pourrait être la conséquence des limitations induites par son état de santé. Enfin, le fait que la recourante ait réussi à élever un enfant aujourd’hui adulte dans des conditions peut-être difficiles ne permet nullement d’inférer des conclusions sur ses ressources actuelles. Au vu de ces carences, l’expertise du Dr L______ ne peut se voir reconnaître valeur probante. A ce stade de la procédure, il est inutile d’examiner si les autres volets de l’expertise réalisée à la PMU satisfont aux critères jurisprudentiels en matière de force probante de rapports médicaux.</w:t>
      </w:r>
    </w:p>
    <w:p>
      <w:r>
        <w:rPr>
          <w:b/>
        </w:rPr>
        <w:t>E. 10</w:t>
      </w:r>
    </w:p>
    <w:p>
      <w:r>
        <w:t>a) Les troubles psychiques constatés nécessitent-ils une prise en charge spécialisée ? b) Quels ont été les traitements entrepris et avec quel succès (évolution et résultats des thérapies) ? c) Pour le cas où il y aurait refus ou mauvaise acceptation d’une thérapie recommandée et accessible : cette attitude doit-elle être attribuée à une incapacité de la recourante à reconnaître sa maladie ? d) La recourante a-t-elle fait preuve de résistance à l’égard des traitements proposés ? La compliance est-elle bonne ? e) Dans quelle mesure les traitements ont-ils été mis à profit ou négligés ?</w:t>
      </w:r>
    </w:p>
    <w:p>
      <w:r>
        <w:rPr>
          <w:b/>
        </w:rPr>
        <w:t>E. 11</w:t>
      </w:r>
    </w:p>
    <w:p>
      <w:r>
        <w:t>Les limitations du niveau d’activité sont-elles uniformes dans tous les domaines (professionnel mais aussi personnel) ? Quel est le niveau d’activité sociale et comment a-t-il évolué depuis la survenance de l’atteinte à la santé ?</w:t>
      </w:r>
    </w:p>
    <w:p>
      <w:r>
        <w:rPr>
          <w:b/>
        </w:rPr>
        <w:t>E. 12</w:t>
      </w:r>
    </w:p>
    <w:p>
      <w:r>
        <w:t>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b) De quelles ressources mobilisables la recourante dispose-t-elle ? c) Quel est le contexte social ? La recourante peut-elle compter sur le soutien de ses proches ? d) Dans l’ensemble, le comportement de la recourante vous semble-t-il cohérent ? Pourquoi ?</w:t>
      </w:r>
    </w:p>
    <w:p>
      <w:r>
        <w:rPr>
          <w:b/>
        </w:rPr>
        <w:t>E. 13</w:t>
      </w:r>
    </w:p>
    <w:p>
      <w:r>
        <w:t>Mentionner, pour chaque diagnostic posé, les limitations fonctionnelles qu’il entraîne, a) dans l’activité habituelle, b) dans une activité adaptée.</w:t>
      </w:r>
    </w:p>
    <w:p>
      <w:r>
        <w:rPr>
          <w:b/>
        </w:rPr>
        <w:t>E. 14</w:t>
      </w:r>
    </w:p>
    <w:p>
      <w:r>
        <w:t>Mentionner globalement les conséquences des divers diagnostics retenus sur la capacité de travail de la recourante, en pourcent, a) dans l’activité habituelle,</w:t>
      </w:r>
    </w:p>
    <w:p>
      <w:r>
        <w:t>A/568/2017 - 21/21 - b) dans une activité adaptée.</w:t>
      </w:r>
    </w:p>
    <w:p>
      <w:r>
        <w:rPr>
          <w:b/>
        </w:rPr>
        <w:t>E. 15</w:t>
      </w:r>
    </w:p>
    <w:p>
      <w:r>
        <w:t>Dater la survenance de l’incapacité de travail durable, le cas échéant, indiquer l'évolution de son taux et décrire son évolution. Se prononcer en particulier sur l’évolution de l’état de santé la recourante depuis novembre 2008.</w:t>
      </w:r>
    </w:p>
    <w:p>
      <w:r>
        <w:rPr>
          <w:b/>
        </w:rPr>
        <w:t>E. 16</w:t>
      </w:r>
    </w:p>
    <w:p>
      <w:r>
        <w:t>Évaluer l'exigibilité, en pourcent, d'une activité lucrative adaptée, indiquer depuis quand une telle activité est exigible et quel est le domaine d'activité adapté.</w:t>
      </w:r>
    </w:p>
    <w:p>
      <w:r>
        <w:rPr>
          <w:b/>
        </w:rPr>
        <w:t>E. 17</w:t>
      </w:r>
    </w:p>
    <w:p>
      <w:r>
        <w:t>Dire s'il y a une diminution de rendement et la chiffrer.</w:t>
      </w:r>
    </w:p>
    <w:p>
      <w:r>
        <w:rPr>
          <w:b/>
        </w:rPr>
        <w:t>E. 18</w:t>
      </w:r>
    </w:p>
    <w:p>
      <w:r>
        <w:t>Évaluer la possibilité d'améliorer la capacité de travail par des mesures médicales. Indiquer quelles seraient les propositions thérapeutiques et leur influence sur la capacité de travail.</w:t>
      </w:r>
    </w:p>
    <w:p>
      <w:r>
        <w:rPr>
          <w:b/>
        </w:rPr>
        <w:t>E. 19</w:t>
      </w:r>
    </w:p>
    <w:p>
      <w:r>
        <w:t>Commenter et discuter les avis médicaux du SMR, des experts s’étant déjà prononcés et des médecins traitants et indiquer - cas échéant - pour quelles raisons ces avis sont confirmés ou écartés.</w:t>
      </w:r>
    </w:p>
    <w:p>
      <w:r>
        <w:rPr>
          <w:b/>
        </w:rPr>
        <w:t>E. 20</w:t>
      </w:r>
    </w:p>
    <w:p>
      <w:r>
        <w:t>Formuler un pronostic global. Indiquer si des mesures de réadaptation professionnelle sont envisageables.</w:t>
      </w:r>
    </w:p>
    <w:p>
      <w:r>
        <w:rPr>
          <w:b/>
        </w:rPr>
        <w:t>E. 21</w:t>
      </w:r>
    </w:p>
    <w:p>
      <w:r>
        <w:t>Faire toute remarque utile. E. Invite l’expert à déposer à sa meilleure convenance un rapport en trois exemplaires à la chambre de céans. F. Réserve le fond.</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