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ATAS/959/2024 vom 3. Dezember 2024</w:t>
      </w:r>
    </w:p>
    <w:p>
      <w:r>
        <w:t>GE Cour de justice, 2024-12-03, FR</w:t>
      </w:r>
    </w:p>
    <w:p>
      <w:r>
        <w:rPr>
          <w:b/>
        </w:rPr>
        <w:t xml:space="preserve">Quelle: </w:t>
      </w:r>
      <w:r>
        <w:t>https://mcp.opencaselaw.ch/entscheid/ge_gerichte_ATAS_959_2024</w:t>
      </w:r>
    </w:p>
    <w:p>
      <w:r>
        <w:t>FR: GE_GERICHTE ATAS/959/2024 du 3 décembre 2024</w:t>
      </w:r>
    </w:p>
    <w:p>
      <w:r>
        <w:t>IT: GE_GERICHTE ATAS/959/2024 del 3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 délai de recours est de trente jours (art. 56 LPGA ; art. 62 al. 1 de la loi sur la procédure administrative du 12 septembre 1985 [LPA - E 5 10]). Interjeté dans la forme et le délai prévus par la loi, le recours est recevable. 2.</w:t>
      </w:r>
    </w:p>
    <w:p>
      <w:r>
        <w:t>2.1 Par renvoi de l'art. 1 al. 1 LAI, les dispositions de la LPGA s'appliquent à l'assurance-invalidité, à moins que la loi n'y déroge expressément. 2.2 Le 1er janvier 2022, les modifications de la LAI du 19 juin 2020 (développement continu de l’AI ; RO 2021 705) ainsi que celles du 3 novembre 2021 du règlement sur l’assurance-invalidité du 17 janvier 1961 (RAI – RS 831.201 ; RO 2021 706) sont entrées en vigueur.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certes été rendue postérieurement au 1er janvier 2022. Toutefois, la demande de prestations ayant été déposée le 25 novembre 2020, un éventuel droit à une rente d’invalidité prendrait naissance antérieurement au 1er janvier 2022 (art. 28 al. 1 let. b et 29 al. 1 LAI), de sorte que les dispositions applicables seront citées dans leur teneur en vigueur jusqu’au 31 décembre 2021. 3. Le litige porte sur le bien-fondé de la décision du 25 septembre 2023 par laquelle l’intimé a nié le droit de la recourante à une rente d’invalidité. 4.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A/3520/2023 - 11/30 -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4.1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w:t>
      </w:r>
    </w:p>
    <w:p>
      <w:r>
        <w:t>A/3520/2023 - 12/30 -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4.2 La procédure d’administration des preuves qui prévaut en matière de troubles douloureux sans substrat organique et de troubles psychosomatiques analogues est notamment applicable à toutes les maladies psychiques (ATF 143 V 418) et à la fibromyalgie (ATF 132 V 65 consid. 4.1).</w:t>
      </w:r>
    </w:p>
    <w:p>
      <w:r>
        <w:t>A/3520/2023 - 13/30 -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 4.3 Les notions de SDRC (CRPS pour Complex regional pain syndrome), algodystrophie ou maladie de Suedeck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(arrêts du Tribunal fédéral 8C_871/2010 du 4 octobre 2011 consid. 3.2 et 8C_384/2009 du 5 janvier 2010 consid. 4.2.1 in SVR 2010 UV n° 18 p. 69). L’étiologie et la pathogenèse de ce syndrome ne sont pas claires. C’est pourquoi, selon la jurisprudence, la pose de ce diagnostic requiert, selon les critères de Budapest, que les éléments caractéristiques suivants soient satisfaits (arrêt du Tribunal fédéral 8C_71/2024 du 30 août 2024 consid. 6.2 et les références). Une douleur persistante disproportionnée par rapport à l’événement déclencheur. Le patient doit rapporter au moins un symptôme dans trois des quatre catégories suivantes : 1. sensorielle (hyperesthésie et/ou allodynie) ; 2. vasomotrice (asymétrie au niveau de la température et/ou changement/asymétrie au niveau de la coloration de la peau) ; 3. sudomotrice/œdème (œdème et/ou changement/asymétrie au niveau de la sudation) ; 4. motrice/trophique (diminution de la mobilité et/ou dysfonction motrice [faiblesse, tremblements, dystonie] et/ou changements trophiques [poils, ongles, peau]). Le patient doit démontrer au moment de l’examen au moins un signe clinique dans deux des quatre catégories suivantes : 1. sensorielle (hyperalgésie [piqûre] et/ou allodynie [au toucher léger et/ou à la pression et/ou à la mobilisation]) ; 2. Vasomotrice (différence de température et/ou changement/asymétrie de coloration de la peau) ; 3. sudomotrice/œdème (œdème et/ou changement/asymétrie au niveau de la sudation) ; 4. motrice/trophique (diminution de la mobilité et/ou dysfonction motrice [faiblesse, tremblement, dystonie] et/ou changements trophiques [poils, ongles, peau]). Il n’existe aucun autre diagnostic permettant de mieux expliquer les symptômes et les signes cliniques. Ces critères sont exclusivement cliniques et ne laissent que peu de place aux examens radiologiques (radiographie, scintigraphie, IRM).</w:t>
      </w:r>
    </w:p>
    <w:p>
      <w:r>
        <w:t>A/3520/2023 - 14/30 - L’utilisation de l’imagerie fait l’objet d’une controverse dans le milieu médical, mais garde un rôle notamment dans la recherche de diagnostics différentiels, ou lorsque les signes cliniques sont discrets ou incomplets ainsi que dans certaines formes atypiques. En pratique, si les critères 1 à 3 sont remplis et le critère 4 est respecté, on doit considérer que le patient souffre d’un SDRC ; toutefois la valeur prédictive positive n’est que de 76%. Si les critères sont partiellement remplis, il faut poursuivre le diagnostic différentiel et réévaluer le patient. Si les critères ne sont pas remplis, le patient a une probabilité quasi nulle d’avoir un SDRC (arrêt du Tribunal fédéral 8C_71/2024 précité consid. 6.2 et les références). 4.4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arrêt du Tribunal fédéral 8C_43/2023 du 29 novembre 2023 consid. 5.1 et 5.2 et les références). 5.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w:t>
      </w:r>
    </w:p>
    <w:p>
      <w:r>
        <w:t>A/3520/2023 - 17/30 -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t>A/3520/2023 - 28/30 -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A quel taux ? Depuis quelle date ?</w:t>
      </w:r>
    </w:p>
    <w:p>
      <w:r>
        <w:rPr>
          <w:b/>
        </w:rPr>
        <w:t>E. 6.3.3</w:t>
      </w:r>
    </w:p>
    <w:p>
      <w:r>
        <w:t>Dire s'il y a une diminution de rendement et la chiffrer.</w:t>
      </w:r>
    </w:p>
    <w:p>
      <w:r>
        <w:t>A/3520/2023 - 26/30 -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 7. Traitement</w:t>
      </w:r>
    </w:p>
    <w:p>
      <w:r>
        <w:rPr>
          <w:b/>
        </w:rPr>
        <w:t>E. 7</w:t>
      </w:r>
    </w:p>
    <w:p>
      <w:r>
        <w:t>En l'espèce, l'intimé a conclu, sur la base de l’avis du SMR du 27 juin 2023, lui-même fondé sur le rapport d’expertise du 23 mai 2023, que la recourante disposait d’une capacité de travail de 90% dans une activité adaptée dès le 1er mars 2019. L’intéressée conteste cette appréciation et fait valoir que ses atteintes à la santé somatique et psychique entrainent une incapacité totale de travail. Il convient donc d'examiner la valeur probante du rapport d’expertise.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w:t>
      </w:r>
    </w:p>
    <w:p>
      <w:r>
        <w:t>A/3520/2023 - 29/30 - 9.3.1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le mois d’octobre 2019 ? 9.5 Des mesures médicales sont-elles nécessaires préalablement à la reprise d’une activité lucrative ? Si oui, lesquelles ? 9.6 Quel est votre pronostic quant à l’exigibilité de la reprise d’une activité lucrative ? 10. Traitement</w:t>
      </w:r>
    </w:p>
    <w:p>
      <w:r>
        <w:rPr>
          <w:b/>
        </w:rPr>
        <w:t>E. 7.5</w:t>
      </w:r>
    </w:p>
    <w:p>
      <w:r>
        <w:t>Eu égard à tout ce qui précède, le rapport d'expertise du 23 mai 2023 ne saurait se voir attribuer une quelconque valeur probante. Le SMR ne pouvait donc pas se fonder sur ce document pour conclure que la recourante disposait d’une capacité de travail de 90% dès le 1er mars 2019 dans toute activité respectant les limitations fonctionnelles énoncées par les experts. 8. Partant, il est indispensable de compléter l'instruction médicale et d’ordonner une expertise bidisciplinaire afin de clarifier les différents aspects médicaux, leurs interactions et leurs conséquences sur la capacité de travail de la recourante. Une expertise judiciaire est donc ordonnée et confiée aux Drs T______ et U______.</w:t>
      </w:r>
    </w:p>
    <w:p>
      <w:r>
        <w:t>A/3520/2023 - 24/30 - PAR CES MOTIFS, LA CHAMBRE DES ASSURANCES SOCIALES : Statuant préparatoirement I. Ordonne une expertise de la recourante. Commet à ces fins le docteur T______, spécialiste FMH en psychiatrie et psychothérapie, , et le docteur U______, spécialiste FMH en rhumatologie, Dit que la mission d’expertise sera la suivante : A. Prendre connaissance du dossier de la cause. B. Si nécessaire, prendre tous renseignements auprès des médecins ayant traité la personne expertisée, en particulier les docteurs D______, J______, K______, M______, L______ et S______, et les Dres I______ et V______, ainsi que le Dr N______ et les précédents psychiatres traitants de la personne expertisée. C. Examiner et entendre la personne expertisée et si nécessaire, ordonner d'autres examens. D. Charge le Dr U______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L’état de santé de la personne expertisée s’est-il amélioré/détérioré depuis le 1er octobre 2019 ? 4.6 Dans quelle mesure les atteintes diagnostiquées limitent-elles les fonctions nécessaires à la gestion du quotidien ? (N’inclure que les déficits fonctionnels émanant des observations qui ont été</w:t>
      </w:r>
    </w:p>
    <w:p>
      <w:r>
        <w:t>A/3520/2023 - 25/30 -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w:t>
      </w:r>
    </w:p>
    <w:p>
      <w:r>
        <w:rPr>
          <w:b/>
        </w:rPr>
        <w:t>E. 10</w:t>
      </w:r>
    </w:p>
    <w:p>
      <w:r>
        <w:t>novembre 2022 de la Dre V______). À la même époque, le Dr M______ avait lui aussi relaté des douleurs au niveau du compartiment externe de cette articulation (rapport du 21 novembre 2022). Ainsi, les deux derniers rapports avant l’examen de l’expert attestent d’une recrudescence des douleurs au niveau de la cheville gauche et de l’échec des traitements entrepris. En outre, il est rappelé qu’une indication chirurgicale a été retenue, mais écartée en raison de l’état de santé psychique de la patiente (rapports des 31 mai 2022 du Dr K______ et 25 avril 2022 de la Dre V______). Les discopathies rachidiennes « stabilisées » sont également surprenantes, au vu des rapports au dossier. Ainsi, le Dr D______ a mentionné une discopathie modérée L4-L5 avec une hernie discale refoulant la racine L5 (rapports des 20 février 2019 et 21 octobre 2020) et le Dr L______ a attesté que la lombosciatalgie droite n’était pas sous contrôle, que les douleurs persistaient malgré le traitement médicamenteux (rapports des 21 mars et 31 mai 2022). Des infiltrations ont d’ailleurs été pratiquées au mois de juin 2022 aux niveaux de L3, L4 et L5 (rapport du 25 juin 2022), sans amélioration durable. Le Dr S______ a diagnostiqué une discopathie dégénérative L4-L5 avec une hernie à base large engendrant une compression récessale gauche significative et une discopathie dégénérative L5-S1 avec une minime compression récessale gauche concomitante, estimant que ces troubles pouvaient se corréler avec une partie des douleurs et avaient probablement été sous-traitées jusqu’à présent (rapport du 15 février 2023). On pourra encore observer que la Dre I______ a rapporté des douleurs de l’hémicorps gauche et du membre inférieur droit (rapport du 22 février 2021), lesquelles ont également été notées lors de son séjour à la clinique de Montana (rapport du 6 juin 2022), et que la recourante a indiqué à l’expert présenter des douleurs diffuses des deux hémicorps, des vertiges, des céphalées, des sensations de jambes endormies, des « douleurs de partout » (expertise p. 44), sans que ces symptômes ne fassent l’objet d’une discussion de la part du Dr R______. Partant, les diagnostics posés par cet expert n’apparaissent pas convaincants.</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 11.1 Êtes-vous d'accord avec l'avis du Dr N______ des 3 avril et 23 août 2023 ? En particulier avec les diagnostics posés, les limitations fonctionnelles constatées et l'estimation d'une incapacité totale de travail?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H. Invite l’expert à faire une appréciation consensuelle du cas avec le Dr U______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A/3520/2023 - 30/30 -</w:t>
      </w:r>
    </w:p>
    <w:p>
      <w:r>
        <w:t>La greffière</w:t>
      </w:r>
    </w:p>
    <w:p>
      <w:r>
        <w:t>Melina CHODYNIECKI</w:t>
      </w:r>
    </w:p>
    <w:p>
      <w:r>
        <w:t>La présidente</w:t>
      </w:r>
    </w:p>
    <w:p>
      <w:r>
        <w:t>Joanna JODRY</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