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ATAS/959/2011 vom 13. Oktober 2011</w:t>
      </w:r>
    </w:p>
    <w:p>
      <w:r>
        <w:t>GE Cour de justice, 2011-10-13, FR</w:t>
      </w:r>
    </w:p>
    <w:p>
      <w:r>
        <w:rPr>
          <w:b/>
        </w:rPr>
        <w:t xml:space="preserve">Quelle: </w:t>
      </w:r>
      <w:r>
        <w:t>https://mcp.opencaselaw.ch/entscheid/ge_gerichte_ATAS_959_2011</w:t>
      </w:r>
    </w:p>
    <w:p>
      <w:r>
        <w:t>FR: GE_GERICHTE ATAS/959/2011 du 13 octobre 2011</w:t>
      </w:r>
    </w:p>
    <w:p>
      <w:r>
        <w:t>IT: GE_GERICHTE ATAS/959/2011 del 13 ottobre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 ATF 127 V 467, consid. 1 et les références)</w:t>
      </w:r>
    </w:p>
    <w:p>
      <w:r>
        <w:t>La décision litigieuse date du 1er mars 2010 et porte sur des prestations dues, selon la recourante, dès le 1er juin 2009, et selon l’OAI à fin 2007 puisque les faits déterminants, confirmé par le Dr Q___________, remontent en 2006, soit après l’entrée en vigueur de la LPGA et l’entrée en vigueur, le 1er janvier 2004, des modifications de la loi fédérale sur l’assurance-invalidité du 21 mars 2003 (4ème révision) et, le 1er janvier 2008, des modifications de la loi sur l’assurance- invalidité du 6 octobre 2006 (5ème révision). Partant, du point de vue matériel, la modification du droit à une rente d’invalidité doit être examinée au regard des dispositions de la LPGA et des modifications de la LAI consécutives à la 4ème ou 5ème révision, dans la mesure de leur pertinence.</w:t>
      </w:r>
    </w:p>
    <w:p>
      <w:r>
        <w:t>En ce qui concerne la procédure, et à défaut de règles transitoires contraires, le nouveau droit s’applique sans réserve dès le jour de son entrée en vigueur (ATF 117 V consid. 6b, 112 V 360 consid. 4a ; RAMA 1998 KV 37 p. 316 consid. 3b)</w:t>
      </w:r>
    </w:p>
    <w:p>
      <w:r>
        <w:t>Interjeté dans les forme et délai prévus par la loi, le recours est recevable (art. 56 à 60 LPGA).</w:t>
      </w:r>
    </w:p>
    <w:p>
      <w:r>
        <w:t>A/1106/2010 - 12/16 -</w:t>
      </w:r>
    </w:p>
    <w:p>
      <w:r>
        <w:rPr>
          <w:b/>
        </w:rPr>
        <w:t>E. 3</w:t>
      </w:r>
    </w:p>
    <w:p>
      <w:r>
        <w:t>Est litigieuse la question de savoir si les troubles présentés par la recourante, sur le plan psychiatrique, constituent une invalidité au sens de l’AI engendrant une incapacité totale de gain et si, de ce fait, elle a droit au versement d’une rente d’invalidité.</w:t>
      </w:r>
    </w:p>
    <w:p>
      <w:r>
        <w:rPr>
          <w:b/>
        </w:rPr>
        <w:t>E. 4</w:t>
      </w:r>
    </w:p>
    <w:p>
      <w:r>
        <w:t>Est réputée invalidité l’incapacité de gain totale ou partielle qui est présumée permanente ou de longue durée (art. 8 al. 1 LPGA). L’invalidité (art. 8 LPGA) peut résulter d’une infirmité congénitale, d’une maladie ou d’un accident. (art. 4 al. 1 LAI). En l’occurrence, les avis sont divergents au sujet de la question de l’invalidité de Madame G___________.</w:t>
      </w:r>
    </w:p>
    <w:p>
      <w:r>
        <w:rPr>
          <w:b/>
        </w:rPr>
        <w:t>E. 5</w:t>
      </w:r>
    </w:p>
    <w:p>
      <w:r>
        <w:t>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w:t>
      </w:r>
    </w:p>
    <w:p>
      <w:r>
        <w:rPr>
          <w:b/>
        </w:rPr>
        <w:t>E. 6</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rPr>
          <w:b/>
        </w:rPr>
        <w:t>E. 7</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A/1106/2010 - 13/16 - sous la forme d'une nouvelle expertise médicale (ATF 125 V 352 consid. 3b et les références).</w:t>
      </w:r>
    </w:p>
    <w:p>
      <w:r>
        <w:rPr>
          <w:b/>
        </w:rPr>
        <w:t>E. 8</w:t>
      </w:r>
    </w:p>
    <w:p>
      <w:r>
        <w:t>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9</w:t>
      </w:r>
    </w:p>
    <w:p>
      <w:r>
        <w:t>Au sujet de la valeur probante d’un rapport médical, le Tribunal a rappelé dans un arrêt du 2 février 2010 (9C_603/2009)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les descriptions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w:t>
      </w:r>
    </w:p>
    <w:p>
      <w:r>
        <w:rPr>
          <w:b/>
        </w:rPr>
        <w:t>E. 10</w:t>
      </w:r>
    </w:p>
    <w:p>
      <w:r>
        <w:t>En l'espèce, la Cour constate que les doutes émis par la recourante au sujet de la valeur probante de l’examen clinique du SMR du 29 juin 2009 effectué par le Dr N___________ sur lequel se base notamment l’OAI étaient pleinement justifiées. En effet, l’examen clinique du SMR mentionné ci-dessus conclut à une capacité de 100% aussi bien dans l’activité habituelle que dans une activité adaptée alors que, selon le Dr L___________ et le Dr M___________, médecins traitants, l’incapacité de travail de la recourante est de 100% en raison de troubles dépressifs majeurs récurrents et d’anxiété généralisé. Les conclusions de ces derniers médecins ont été confirmées par l’expertise du Dr Q___________. Il sied de constater que cette expertise se fonde sur des examens complets, prenant en considération les plaintes exprimées par l’expertisée et est établi en pleine connaissance de l’anamnèse et du contexte médical et une appréciation claire avec des conclusions dûment motivées. Cette expertise qui expose clairement les raisons de l’écart avec l’avis du Dr N___________ et conclut notamment à une incapacité de travail à 100% dans l’activité habituelle ou dans une activité adaptée, remplit tous les réquisits jurisprudentiels pour lui octroyer pleine valeur probante.</w:t>
      </w:r>
    </w:p>
    <w:p>
      <w:r>
        <w:t>A/1106/2010 - 14/16 -</w:t>
      </w:r>
    </w:p>
    <w:p>
      <w:r>
        <w:rPr>
          <w:b/>
        </w:rPr>
        <w:t>E. 11</w:t>
      </w:r>
    </w:p>
    <w:p>
      <w:r>
        <w:t>De plus, La Cour retiendra en particulier que, se prononçant sur le contenu de l’expertise du Dr Q___________ en date du 20 avril 2011, l’intimé s’est clairement exprimé au sujet de la situation de la recourante en concluant à l’octroi à la recourante d’une rente entière dès le 1er décembre 2007.</w:t>
      </w:r>
    </w:p>
    <w:p>
      <w:r>
        <w:rPr>
          <w:b/>
        </w:rPr>
        <w:t>E. 12</w:t>
      </w:r>
    </w:p>
    <w:p>
      <w:r>
        <w:t>Au sujet de la naissance du droit à une rente, il y a lieu de relever que, répondant aux questions de la mission d’expertise, le Dr Q___________ indiquait, comme date de survenance de l’incapacité de travail de la recourante, l’année 2006. Sur cette base, la Cour se ralliera à l’argumentation de l’OAI qui a pris en considération le fait que le délai d’attente débutait au mois de décembre 2006, et, en application de l’art. 29 al. 1 aLAI, admettra que le droit à la rente a pris naissance en décembre 2007.</w:t>
      </w:r>
    </w:p>
    <w:p>
      <w:r>
        <w:rPr>
          <w:b/>
        </w:rPr>
        <w:t>E. 13</w:t>
      </w:r>
    </w:p>
    <w:p>
      <w:r>
        <w:t>Dans son recours, la recourante a conclu notamment « dire et constater que Madame G_________ a droit à une rente entière d’invalidité à compter du 1er juin 2009 avec intérêts moratoires à 5% en application de l’article 26 al. 2 LPGA. »</w:t>
      </w:r>
    </w:p>
    <w:p>
      <w:r>
        <w:t>Dans un arrêt du 11 octobre 2005, le Tribunal fédéral a rappelé « En matière d’intérêts moratoires, le droit des assurances sociales connaît une règlementation particulière qui diverge du principe non écrit admis par le Tribunal fédéral pour les dettes de droit public (ATF 95 I 262 consid. 3). Selon une jurisprudence déjà ancienne (ATFA 1952 p. 88 et les références), le Tribunal fédéral des assurances considère qu’il n’y a en principe pas place pour des intérêts moratoires, dans la mesure où ils ne sont pas prévus par la législation. La principale raison de l’exclusion de la dette d’intérêts dans ce domaine réside dans le rôle dévolu à l’administration. Celle-ci se présente comme détentrice de la puissance publique chargée d’instruire, parfois longuement, les demandes de prestations émanant des particuliers et de leur appliquer le droit de manière objective. Lui imposer systématiquement des intérêts moratoires reviendrait à la pénaliser pour avoir accompli son devoir avec soin.</w:t>
      </w:r>
    </w:p>
    <w:p>
      <w:r>
        <w:t>Seules des circonstances spéciales peuvent justifier une exception à la règle. L’octroi d’intérêts de retard, dans l’hypothèse de manœuvres illicites et fautives ou purement dilatoires, peut alors se justifier, mais il ne doit intervenir qu’avec retenue, notamment quand le sentiment du droit est heurté de manière particulière. Malgré les critiques de la doctrine, cette jurisprudence a été confirmée par la Cour de céans (ATF 127 V 446 consid. 4 et les arrêts cités.)</w:t>
      </w:r>
    </w:p>
    <w:p>
      <w:r>
        <w:t>Entrée en vigueur le 1er janvier 2003 (voir également ATF 130 V 329) la LPGA prévoit expressément une réglementation en matière d’intérêts moratoires, réglementation qui demeure particulière et propre au droit des assurances sociales (cf Ueli Kieser, ATSG-Kommentar, Kommentar zum Bundesgesetz über den Allgemeinen Teil des Sozialversicherungsrechts vom 6 Oktober 2000, Zurich 2003, ch 3 ad art. 26).</w:t>
      </w:r>
    </w:p>
    <w:p>
      <w:r>
        <w:t>A/1106/2010 - 15/16 -</w:t>
      </w:r>
    </w:p>
    <w:p>
      <w:r>
        <w:t>Selon l’art. 26 al. 2 LPGA, des intérêts moratoires sont en effet dus pour toute créance de prestations d’assurances sociales à l’échéance d’un délai de 24 mois à compter de la naissance du droit (ATF 130 V 334 consid. 6.2). »</w:t>
      </w:r>
    </w:p>
    <w:p>
      <w:r>
        <w:t>En l’occurrence, cette disposition trouve application, dès lors que les conditions, notamment quant au délai, sont réunies. En effet, la naissance du droit aux prestations ayant été fixée par l’OAI au 1er décembre 2007, des intérêts moratoires seront dus dès le 1er décembre 2009.</w:t>
      </w:r>
    </w:p>
    <w:p>
      <w:r>
        <w:rPr>
          <w:b/>
        </w:rPr>
        <w:t>E. 14</w:t>
      </w:r>
    </w:p>
    <w:p>
      <w:r>
        <w:t>En conséquence, le recours du 30 mars 2010 est admis, la décision de refus du droit à des prestations du 1er mars 2010 est annulée et une rente entière est accordée dès le 1er décembre 2007.</w:t>
      </w:r>
    </w:p>
    <w:p>
      <w:r>
        <w:rPr>
          <w:b/>
        </w:rPr>
        <w:t>E. 15</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modifica6tion du 16 décembre 2005)-</w:t>
      </w:r>
    </w:p>
    <w:p>
      <w:r>
        <w:t>Un émolument de 200 fr. sera ainsi mis à la charge de l’intimé qui succombe (art. 69 1bis LAI) ainsi qu’une indemnité de 1’500 fr. en faveur de la recourante, au vu du nombre d’actes, d’audiences et d’écritures complémentaires.</w:t>
      </w:r>
    </w:p>
    <w:p>
      <w:r>
        <w:t>A/1106/2010 - 16/16 -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