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ATAS/959/2008 vom 3. September 2008</w:t>
      </w:r>
    </w:p>
    <w:p>
      <w:r>
        <w:t>GE Cour de justice, 2008-09-03, FR</w:t>
      </w:r>
    </w:p>
    <w:p>
      <w:r>
        <w:rPr>
          <w:b/>
        </w:rPr>
        <w:t xml:space="preserve">Quelle: </w:t>
      </w:r>
      <w:r>
        <w:t>https://mcp.opencaselaw.ch/entscheid/ge_gerichte_ATAS_959_2008</w:t>
      </w:r>
    </w:p>
    <w:p>
      <w:r>
        <w:t>FR: GE_GERICHTE ATAS/959/2008 du 3 septembre 2008</w:t>
      </w:r>
    </w:p>
    <w:p>
      <w:r>
        <w:t>IT: GE_GERICHTE ATAS/959/2008 del 3 settembre 2008</w:t>
      </w:r>
    </w:p>
    <w:p>
      <w:pPr>
        <w:pStyle w:val="Heading2"/>
      </w:pPr>
      <w:r>
        <w:t>Erwägungen</w:t>
      </w:r>
    </w:p>
    <w:p>
      <w:r>
        <w:rPr>
          <w:b/>
        </w:rPr>
        <w:t>E. 1</w:t>
      </w:r>
    </w:p>
    <w:p>
      <w:r>
        <w:t>Conformément à l’art. 56V al. 1 let. a ch. 5 de la loi genevoise sur l’organisation judiciaire, le Tribunal cantonal des assurances sociales connaît en instance unique des contestations prévues à l’art. 56 de la loi fédérale sur la partie générale du droit des assurances sociales du 6 octobre 2000 (ci-après : LPGA) qui sont relatives à la loi fédérale sur l’assurance-accidents du 20 mars 1981 (ci-après : LAA). Sa compétence pour juger du cas d’espèce est ainsi établie.</w:t>
      </w:r>
    </w:p>
    <w:p>
      <w:r>
        <w:rPr>
          <w:b/>
        </w:rPr>
        <w:t>E. 2</w:t>
      </w:r>
    </w:p>
    <w:p>
      <w:r>
        <w:t>À teneur de l’art. 1er al. 1er LAA, les dispositions de la LPGA s’appliquent à l’assurance-accidents à moins que la LAA n’y déroge expressément. À cet égard, il sied de relever que les modifications légales contenues dans la LPGA constituent, en règle générale, une version formalisée dans la loi, de la</w:t>
      </w:r>
    </w:p>
    <w:p>
      <w:r>
        <w:t>A/2364/2007 - 11/16 - jurisprudence relative aux notions correspondantes avant l’entrée en vigueur de la LPGA ; il n’en découle aucune modification du point de vue de leur contenu, de sorte que la jurisprudence développée à leur propos peut être reprise et appliquée (ATF 130 V 345 consid. 3).</w:t>
      </w:r>
    </w:p>
    <w:p>
      <w:r>
        <w:rPr>
          <w:b/>
        </w:rPr>
        <w:t>E. 3</w:t>
      </w:r>
    </w:p>
    <w:p>
      <w:r>
        <w:t>Conformément à l’art. 60 al. 1er LPGA, le recours doit être déposé dans les trente jours suivant la notification de la décision sujette à recours. La décision du 16 mai ayant été reçue par le recourant le 18 mai 2007, le délai de recours a commencé à courir le lendemain de la réception de sorte que, compte tenu du fait que le terme devait échoir un dimanche, il a été reporté au lundi 18 juin 2007 conformément à l’art. 38 al. 1 et 3 LPGA, applicable en vertu de l’art. 60 al. 2 LPGA. Interjeté dans les forme et délai prévus par la loi (art. 56 ss LPGA), le recours déposé à l’office postal le 18 juin 2007 est donc recevable.</w:t>
      </w:r>
    </w:p>
    <w:p>
      <w:r>
        <w:rPr>
          <w:b/>
        </w:rPr>
        <w:t>E. 4</w:t>
      </w:r>
    </w:p>
    <w:p>
      <w:r>
        <w:t>Le litige porte exclusivement sur la détermination du taux de l’invalidité du recourant, fixé à 16% par l’intimée alors que l’Office AI l’avait évalué à 34%, selon projet de décision du 4 décembre 2006 adressé en copie à l'intimé.</w:t>
      </w:r>
    </w:p>
    <w:p>
      <w:r>
        <w:rPr>
          <w:b/>
        </w:rPr>
        <w:t>E. 5</w:t>
      </w:r>
    </w:p>
    <w:p>
      <w:r>
        <w:t>L’art. 18 al. 1er LAA, dans sa teneur en vigueur depuis le 1er janvier 2003, prévoit que si l’assuré est invalide à 10% au moins à la suite d’un accident, il a droit à une rente d’invalidité. Le taux d’invalidité résulte de la comparaison entre le revenu que l’assuré aurait pu réaliser s’il n’était pas invalide et celui qu’il pourrait obtenir en exerçant l’activité qui peut raisonnablement être exigée de lui après les traitements et les mesures de réadaptation sur un marché du travail équilibré (art. 16 LPGA).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6</w:t>
      </w:r>
    </w:p>
    <w:p>
      <w:r>
        <w:t>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w:t>
      </w:r>
    </w:p>
    <w:p>
      <w:r>
        <w:t>A/2364/2007 - 12/16 - de travail de l’intéressé dans des activités raisonnablement exigibles (ATF 115 V 133 consid. 2, 105 V 158 consid. 1 ; ATFA non publié du 19 avril 2002, I 554/01). D’autre part, ainsi que le Tribunal fédéral des assurances l’a déclaré à maintes reprises,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d’ailleurs, depuis le 1er janvier 2003, uniformément codifiée à l’art. 8 LPGA précité.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Une appréciation divergente ne peut intervenir qu’à titre exceptionnel et seulement s’il existe des motifs suffisants. À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À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Dans ce dernier arrêt, le Tribunal fédéral des assurances a en outre précisé qu’à condition de respecter certaines exigences de procédure, la détermination du revenu d’invalide sur la base des données salariales résultant des descriptifs de postes de travail est un procédé admis par la jurisprudence au même titre que le recours aux statistiques économiques. La détermination du revenu d’invalide sur la base des DPT suppose cependant, en sus de la production d’au moins cinq descriptifs, la communication du nombre total des postes de travail pouvant entrer en considération d’après le type de handicap, ainsi que du salaire le plus haut, du salaire le plus bas, et du salaire moyen du</w:t>
      </w:r>
    </w:p>
    <w:p>
      <w:r>
        <w:t>A/2364/2007 - 13/16 - groupe auquel il est fait référence. Les éventuelles objections de l’assuré sur le choix et sur la représentativité des DPT dans le cas concret doivent être soulevées, en principe, durant la procédure d’opposition. Si l’assureur n’est pas en mesure de satisfaire à ces exigences de procédure, on ne peut pas se référer aux DPT (ATF 129 V 472 consid. 4.2). Enfin, le juge n’a pas à tenir compte des allégations du recourant qui fait valoir une aggravation de son état de santé postérieurement à la décision litigieuse (cf. ATF 129 V 1 consid. 1.2). Il appartient à celui-ci, le cas échéant, de s’adresser à l’assu- reur pour demander une révision de sa situation.</w:t>
      </w:r>
    </w:p>
    <w:p>
      <w:r>
        <w:rPr>
          <w:b/>
        </w:rPr>
        <w:t>E. 7</w:t>
      </w:r>
    </w:p>
    <w:p>
      <w:r>
        <w:t>En l’espèce, force est de constater que l’intimée s’est bornée à verser les documents requis dans son dossier (cf. supra 19), alors que les exigences de procédure précitées comprennent notamment celle de les communiquer à l’assuré, de manière à ce qu’il puisse se déterminer utilement à leur sujet. Tel a cependant été le cas au cours de la procédure d’opposition, de sorte que l’on peut admettre que les exigences de procédure posées par la jurisprudence qui vient d’être rappelée ont été respectées, bien que tardivement. Quant à leur contenu, les descriptifs de postes de travail ne donnent pas non plus entière satisfaction. Si, contrairement à ce que soutient le recourant, le descriptif du poste de cariste ne laisse apparaître aucune incompatibilité avec les limitations dont il est affligé (voir le rapport médical final du 3 octobre 2005, supra 9), celui de chauffeur-livreur prête le flanc à la critique, en ce sens qu’il suppose le port occasionnel de charges comprises entre dix et vingt-cinq kilogrammes, lequel pourrait laisser craindre l’apparition d’une fatigue ou de douleurs susceptibles d’émousser les facultés nécessaires à la conduite automobile. De plus, même si la manœuvre du volant ou du levier de vitesse n’entraîne pas fatalement l’exécution de mouvements de supination, un risque lié aux circonstances imprévisibles de la circulation routière subsiste concrètement, qu’il ne se justifie pas d’exiger du recourant. Il convient par conséquent de considérer que le nombre de DPT requis par la jurisprudence précitée est insuffisant dans le cas d’espèce.</w:t>
      </w:r>
    </w:p>
    <w:p>
      <w:r>
        <w:rPr>
          <w:b/>
        </w:rPr>
        <w:t>E. 8</w:t>
      </w:r>
    </w:p>
    <w:p>
      <w:r>
        <w:t>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À cet égard, il sied de rappeler que, selon la jurisprudence du Tribunal fédéral des assurances, il n’y a pas lieu de procéder à une réduction schématique du revenu pour cause d’atteinte à la santé, mais de le faire en fonction des circonstances du cas particulier. Il s’agit en effet de déterminer, à partir des données statistiques, le</w:t>
      </w:r>
    </w:p>
    <w:p>
      <w:r>
        <w:t>A/2364/2007 - 14/16 - revenu postérieur à l’invalidité qui corresponde le mieux à ce que pourrait gagner l’assuré qui exploite ses possibilités de gain dans la mesure que l’on peut raisonnablement exiger de lui, compte tenu de sa capacité de travail résiduelle. Ce point de vue l’emporte même en ce qui concerne les autres facteurs susceptibles d’influer sur le revenu à prendre en considération, tels que le nombre d’années de service, la nationalité (la catégorie de permis de séjour) et le degré d’occupation. Dans ces domaines également, la déduction ne doit pas être automatique, mais intervenir lorsque, dans un cas particulier, il existe des indications qui prouvent que l’assuré ne peut, en raison de l’un ou l’autre de ces facteurs, exploiter sa capacité de travail résiduelle qu’avec des chances de gain inférieures à la moyenne. Pour le surplus, le salaire auquel pouvaient prétendre les hommes effectuant des activités simples et répétitives dans le secteur privé était de 4'588 fr. par mois en 2004 (tableau TA1, niveau de qualification 4), soit 4'627 fr. 50 en 2005 en raison de l’évolution des salaires nominaux (indice 2004 : 1'975 ; indice 2005 : 1'992). Ce salaire hypothétique tient compte d’un large éventail d’activités légères existant sur le marché du travail, qui ne nécessitent pas de formation particulière, dont un nombre suffisant intègre le handicap et les limitations fonctionnelles du recourant, et représente, étant donné que les salaires bruts standardisés sont fondés sur un horaire de travail de quarante heures par semaine, soit une durée hebdomadaire inférieure à la moyenne usuelle dans les entreprises en 2005 (41.6 heures), un revenu d’invalide de 4'812 fr. 60 par mois (4'627.50 · 41.6 ÷ 40), ou 57'751 fr. 20 par année (4'812.60 · 12).</w:t>
      </w:r>
    </w:p>
    <w:p>
      <w:r>
        <w:rPr>
          <w:b/>
        </w:rPr>
        <w:t>E. 9</w:t>
      </w:r>
    </w:p>
    <w:p>
      <w:r>
        <w:t>En l’espèce, le recourant ne travaillait, au moment de son accident, que depuis six mois chez son employeur, de sorte qu’il ne bénéficiait pas d’éventuels avantages liés à la longueur des rapports de travail. La pratique montre en outre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française. En revanche, âgé aujourd’hui de cinquante-six ans, il peut certes faire valoir de nombreuses années d’expérience, mais il ne faut pas perdre de vue qu’il effectuait des travaux lourds qui sont désormais proscrits, et que l’éventail des travaux légers qu’il peut réaliser, un peu moins large que celui d’un travailleur parfaitement apte au travail, a pour conséquence qu’il doit, de ce fait, vraisemblablement compter avec un salaire légèrement inférieur à la moyenne (cf. ATFA du 28 juillet 1999, publié in VSI 1999 p. 246). Enfin, mises à part les conséquences de son accident, le recourant est en très bonne santé et sa capacité de travail est, aux dires des médecins consultés, entière pour autant que l’activité déployée soit adaptée aux limitations constatées, de sorte qu’il n’aurait pas à subir les conséquences, pour les hommes, de l’exercice d’une profession à temps partiel. Partant, il se justifie de considérer que le recourant est en mesure d’exploiter pleinement sa capacité résiduelle de travail, avec toutefois des chances de gain</w:t>
      </w:r>
    </w:p>
    <w:p>
      <w:r>
        <w:t>A/2364/2007 - 15/16 - inférieures de 10% à la moyenne au regard des circonstances qui lui sont particulières. Il convient par conséquent de retenir qu’il est en mesure de générer un revenu de 51'976 fr. 10 (90% de 57'751.20) par année. Sans invalidité, il pouvait, en 2005, prétendre au versement d’un salaire mensuel brut de 5'024 fr. 10 (28.30 · 41 · 4.33), soit d’un salaire annuel brut de 65'313 fr. 30 (5'024.10 · 13). Il résulte, de la comparaison des deux revenus ainsi déterminés, un taux d’invalidité de 20.42% ([65'313.3 – 51'976.1] ÷ 65'313.3 · 100), arrondi à 20% (ATF 130 V 121 consid. 3.2).</w:t>
      </w:r>
    </w:p>
    <w:p>
      <w:r>
        <w:rPr>
          <w:b/>
        </w:rPr>
        <w:t>E. 10</w:t>
      </w:r>
    </w:p>
    <w:p>
      <w:r>
        <w:t>Le recours devra être partiellement admis et la cause renvoyée à l’intimée pour nouvelle décision au sens des considérants.</w:t>
      </w:r>
    </w:p>
    <w:p>
      <w:r>
        <w:rPr>
          <w:b/>
        </w:rPr>
        <w:t>E. 11</w:t>
      </w:r>
    </w:p>
    <w:p>
      <w:r>
        <w:t>Le recourant obtenant gain de cause, une indemnité de 1'500 fr. lui sera accordée à titre de participation à ses frais et dépens (art. 61 let. g LPGA). Pour le surplus, la procédure est gratuite (art. 61 let. a LPGA).</w:t>
      </w:r>
    </w:p>
    <w:p>
      <w:r>
        <w:t>A/2364/2007 - 16/16 -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