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ATAS/958/2023 vom 7. Dezember 2023</w:t>
      </w:r>
    </w:p>
    <w:p>
      <w:r>
        <w:t>GE Cour de justice, 2023-12-07, FR</w:t>
      </w:r>
    </w:p>
    <w:p>
      <w:r>
        <w:rPr>
          <w:b/>
        </w:rPr>
        <w:t xml:space="preserve">Quelle: </w:t>
      </w:r>
      <w:r>
        <w:t>https://mcp.opencaselaw.ch/entscheid/ge_gerichte_ATAS_958_2023</w:t>
      </w:r>
    </w:p>
    <w:p>
      <w:r>
        <w:t>FR: GE_GERICHTE ATAS/958/2023 du 7 décembre 2023</w:t>
      </w:r>
    </w:p>
    <w:p>
      <w:r>
        <w:t>IT: GE_GERICHTE ATAS/958/2023 del 7 dicembre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(du 24 novembre 2022)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après cette date (le 9 septembre 2019), le droit du recourant aux prestations d'assurance est soumis au nouveau droit (cf. al. 1 des dispositions transitoires relatives à la modification du</w:t>
      </w:r>
    </w:p>
    <w:p>
      <w:r>
        <w:t>A/4021/2022 - 10/28 - 25 septembre 2015 ; arrêt du Tribunal fédéral 8C_662/2016 du 23 mai 2017 consid. 2.2). Les dispositions légales seront donc citées ci-après dans leur teneur en vigueur à compter du 1er janvier 2017.</w:t>
      </w:r>
    </w:p>
    <w:p>
      <w:r>
        <w:rPr>
          <w:b/>
        </w:rPr>
        <w:t>E. 5</w:t>
      </w:r>
    </w:p>
    <w:p>
      <w:r>
        <w:t>Le délai de recours est de trente jours (art. 60 al. 1 LPGA ; art. 62 al. 1 let. a de la loi sur la procédure administrative du 12 septembre 1985 [LPA - E 5 10]). Interjeté dans la forme (art. 61 let. b LPGA) et le délai prévus par la loi, le recours est recevable.</w:t>
      </w:r>
    </w:p>
    <w:p>
      <w:r>
        <w:rPr>
          <w:b/>
        </w:rPr>
        <w:t>E. 6</w:t>
      </w:r>
    </w:p>
    <w:p>
      <w:r>
        <w:t>Le litige porte sur le degré d'invalidité du recourant, ainsi que sur le taux de l'IPAI.</w:t>
      </w:r>
    </w:p>
    <w:p>
      <w:r>
        <w:rPr>
          <w:b/>
        </w:rPr>
        <w:t>E. 7.1</w:t>
      </w:r>
    </w:p>
    <w:p>
      <w:r>
        <w:t>Selon l'art. 6 al. 1 LAA, les prestations d'assurance sont allouées en cas d'accident professionnel, d'accident non-professionnel et de maladie professionnelle.</w:t>
      </w:r>
    </w:p>
    <w:p>
      <w:r>
        <w:rPr>
          <w:b/>
        </w:rPr>
        <w:t>E. 7.2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8.1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8.2</w:t>
      </w:r>
    </w:p>
    <w:p>
      <w:r>
        <w:t>Si l'assuré est invalide (art. 8 LPGA) à 10% au moins par suite d’un accident, il a droit à une rente d'invalidité, pour autant que l’accident soit survenu avant l’âge ordinaire de la retraite (art. 18 al. 1 LAA, dans sa teneur en vigueur à compter du 1er janvier 2017).</w:t>
      </w:r>
    </w:p>
    <w:p>
      <w:r>
        <w:rPr>
          <w:b/>
        </w:rPr>
        <w:t>E. 8.3</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w:t>
      </w:r>
    </w:p>
    <w:p>
      <w:r>
        <w:rPr>
          <w:b/>
        </w:rPr>
        <w:t>E. 8.3.1</w:t>
      </w:r>
    </w:p>
    <w:p>
      <w:r>
        <w:t>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w:t>
      </w:r>
    </w:p>
    <w:p>
      <w:r>
        <w:t>A/4021/2022 - 11/28 -</w:t>
      </w:r>
    </w:p>
    <w:p>
      <w:r>
        <w:rPr>
          <w:b/>
        </w:rPr>
        <w:t>E. 8.3.2</w:t>
      </w:r>
    </w:p>
    <w:p>
      <w:r>
        <w:t>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w:t>
      </w:r>
    </w:p>
    <w:p>
      <w:r>
        <w:rPr>
          <w:b/>
        </w:rPr>
        <w:t>E. 9.1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A/4021/2022 - 12/28 -</w:t>
      </w:r>
    </w:p>
    <w:p>
      <w:r>
        <w:rPr>
          <w:b/>
        </w:rPr>
        <w:t>E. 9.3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9.3.1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9.3.2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11</w:t>
      </w:r>
    </w:p>
    <w:p>
      <w:r>
        <w:t>A/4021/2022 - 13/28 -</w:t>
      </w:r>
    </w:p>
    <w:p>
      <w:r>
        <w:rPr>
          <w:b/>
        </w:rPr>
        <w:t>E. 11.1</w:t>
      </w:r>
    </w:p>
    <w:p>
      <w:r>
        <w:t>En l'occurrence, l'intimée s'est appuyée sur les rapports de la Dre C______, médecin d'assurance orthopédiste, des 17 décembre 2021, 14 et 18 février 2022 pour mettre un terme au traitement médical et au versement de l'indemnité journalière avec effet au 31 mars 2022, et considérer que le recourant est pleinement apte à travailler dans une activité adaptée à ses limitations fonctionnelles.</w:t>
      </w:r>
    </w:p>
    <w:p>
      <w:r>
        <w:rPr>
          <w:b/>
        </w:rPr>
        <w:t>E. 11.2</w:t>
      </w:r>
    </w:p>
    <w:p>
      <w:r>
        <w:t>La Dre C______ a étudié les pièces médicales au dossier, y compris les examens d'imagerie des deux mains (dossier intimée pièce 179 p. 1-5, 8 ; pièce 199 p. 1-2 ; pièce 202 p. 1), pris en compte les plaintes du recourant (pièce 179 p. 5-6) et l'a examiné (pièce 179 p. 7-8). Elle a constaté que le recourant présentait d'importantes raideurs des trois derniers doigts de la main gauche, qu'il se plaignait de douleurs importantes, de dysesthésies et d'hyperesthésies sur le territoire du nerf ulnaire au coude (pièce 179 p. 9), et qu'il souffrait d'un syndrome douloureux régional complexe (pièce 200 p. 1 ; pièce 202 p. 1). Elle a relevé que le recourant refusait une éventuelle opération de décompression (pièce 179 p. 9), et en date du 14 février 2022 (pièce 199 p. 2), elle a conclu que le cas était stabilisé. Dans son rapport du 27 janvier 2023, l'ergothérapeute a indiqué que le recourant a suivi des séances du 18 septembre 2019 au 19 mai 2022, ayant consisté en bains de paraffine, mobilisation douce, réentraînement des diverses préhensions, et intégration de la main [gauche] dans les gestes quotidiens. Elle a fait état de petits progrès fin août 2021, ainsi que d'une diminution de la douleur au repos, mais a relevé l'existence de douleurs au mouvement et une exclusion toujours totale de D3-D4-D5 en janvier 2022. Quand bien même les douleurs du recourant persistaient et qu'il poursuivait un traitement antalgique (pièce 179 p. 6), vu l'absence d'une amélioration significative malgré les séances d'ergothérapie, comme l'admet celui-ci (écriture du 23 mars 2023 p. 1), et compte tenu du fait qu'il n'y a plus aucune proposition chirurgicale (rapport de la CRR du 13 août 2021 [pièce 147 p. 7] ; rapport du Dr B______ du 4 novembre 2021 dans lequel ce médecin considérait que le cas était consolidé [pièce 168 p. 2]), étant rappelé que le recourant ne souhaitait pas subir, cas échéant, une opération de décompression (pièce 179 p. 9), l'intimée était fondée à retenir que l'état de santé du recourant était stabilisé (cf. arrêt du Tribunal fédéral 8C_589/2018 du 4 juillet 2019 consid. 4.3), et à mettre un terme à la prise en charge des soins médicaux et au versement des indemnités journalières au 31 mars 2022.</w:t>
      </w:r>
    </w:p>
    <w:p>
      <w:r>
        <w:rPr>
          <w:b/>
        </w:rPr>
        <w:t>E. 11.3</w:t>
      </w:r>
    </w:p>
    <w:p>
      <w:r>
        <w:t>En ce qui concerne la capacité de travail résiduelle du recourant, c'est sur la base de l'examen clinique (pièce 179 p. 7-8) et donc en connaissance des limitations de celui-ci que la Dre C______ a estimé qu'il est apte à exercer une activité légère (5 à 10 kg) adaptée (force de serrage du poing gauche de 15 kg maximum de manière non répétitive, éviter le contact de la main gauche avec des objets, en particulier métalliques ou froids, surtout le majeur, l'auriculaire et</w:t>
      </w:r>
    </w:p>
    <w:p>
      <w:r>
        <w:t>A/4021/2022 - 14/28 - l'annulaire, mais d'une manière générale l'ensemble de la main, et travail manuel au-dessus des épaules en raison des douleurs et raideur de la main gauche l'empêchant de saisir ou porter ; pièce 202 p. 1). Aucun rapport médical au dossier ne fait état d’éléments objectifs permettant de douter du bien-fondé des conclusions de la Dre C______. En particulier, la Dre C______ connaissait les limitations fonctionnelles provisoires qui avaient été énumérées par la CRR, à savoir éviter le port de charges supérieures à 5 kg, les ports de charges répétés, les mouvements nécessitant de la force de la main gauche, et les mouvements répétés de la main gauche (pièce 179 p. 4 ; pièce 147 p. 7). Ces restrictions reposaient sur le status analytique des membres supérieurs et sur les tests fonctionnels lors du séjour (pièce 147 p. 4-5), raison pour laquelle elles diffèrent de celles posées par la Dre C______ sur la base de ses propres observations (pièce 179 p. 7-8). En l'absence de rapport médical expliquant les motifs pour lesquels les constatations de la Dre C______ ne permettraient pas d'admettre l'exercice d'une activité adaptée avec port de charges ne dépassant pas les 10 kg, on ne peut pas retenir, comme le voudrait le recourant, qu'il peut effectuer uniquement une activité adaptée avec port de charges inférieures à 5 kg (dès le 1er avril 2022, date déterminante pour l'examen du droit éventuel à une rente d'invalidité [provisoire] ; voir infra). Au passage, c'est le lieu de rappeler que si la CRR avait conclu à une incapacité de travail totale dans l'ancienne activité en raison des limitations fonctionnelles du recourant, elle avait néanmoins considéré que ce dernier, en dépit de ses restrictions physiques (notamment port de charges limitées à 5 kg), pouvait en principe se réinsérer dans une activité adaptée (pièce 147 p. 7-8). Ensuite, le fait que, dans son rapport du 18 février 2022, la Dre C______ ait déterminé l'exigibilité dans une activité adaptée sans avoir réexaminé le recourant n'est pas de nature à discréditer son appréciation. En effet, la Dre C______ avait déjà examiné le recourant le 10 décembre 2021. Et, après avoir pris connaissance du résultat de l'examen électroneuromyographique du 1er février 2022 qu'elle avait demandé, elle a conclu que le recourant pouvait exercer une activité légère. En d'autres termes, le rapport du 18 février 2022 se fonde bien sur l'examen personnel du recourant. Par ailleurs, les certificats d'arrêt de travail établis par le Dr B______, le rapport dudit médecin du 29 novembre 2022, ainsi que le bilan d'ergothérapie du 27 janvier 2023 versés à la présente procédure par le recourant ne sont d'aucun secours. En effet, les premiers, très sommaires, sont muets quant à l'exigibilité du recourant dans une activité adaptée, étant relevé que tous les médecins s'accordent pour dire que celui-ci ne peut plus exercer son activité habituelle. Quant au second document, d'une part, il se rapporte à une consultation ayant eu lieu le 28 novembre 2022, postérieurement à la décision litigieuse du 27 octobre 2022, et d'autre part, il ne critique nullement les conclusions de la Dre C______. Enfin, le</w:t>
      </w:r>
    </w:p>
    <w:p>
      <w:r>
        <w:t>A/4021/2022 - 15/28 - bilan d'ergothérapie, qui ne dit mot sur la capacité de travail résiduelle du recourant, n'émane de toute manière pas d'un médecin. Force est de conclure que le recourant livre sa propre appréciation quant à ses restrictions physiques et au taux de sa capacité de travail résiduelle (50% selon lui). Or, l'administration ou le juge, en cas de recours, s'appuie sur des documents médicaux probants et non sur l'appréciation subjective de l'assuré. Dans ces circonstances, il y a lieu de retenir, avec la Dre C______, que le recourant est pleinement apte à exercer une activité adaptée (dès le 1er avril 2022).</w:t>
      </w:r>
    </w:p>
    <w:p>
      <w:r>
        <w:rPr>
          <w:b/>
        </w:rPr>
        <w:t>E. 12</w:t>
      </w:r>
    </w:p>
    <w:p>
      <w:r>
        <w:t>Reste à examiner le degré d'invalidité.</w:t>
      </w:r>
    </w:p>
    <w:p>
      <w:r>
        <w:rPr>
          <w:b/>
        </w:rPr>
        <w:t>E. 12.1</w:t>
      </w:r>
    </w:p>
    <w:p>
      <w:r>
        <w:t>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(AI) quant à la réadaptation professionnelle intervient plus tard. En application de cette disposition, le Conseil fédéral a adopté l’art. 30 de l’ordonnance sur l’assurance-accidents du 20 décembre 1982 (OLAA ‑ RS 832.202), lequel prévoit que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l’AI, ou avec la décision négative de l’AI concernant la réadaptation professionnelle ou encore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l’AI, de verser néanmoins une rente d’invalidité à l’assuré sans attendre ce résultat (ATF 116 V 246 consid. 2b et la référence). C’est donc une prestation temporaire, fixée provisoirement, et qui doit être allouée aussi bien pendant le déroulement des mesures de réadaptation de l’AI que pendant la période qui va de la fin du traitement médical jusqu’au moment où la décision est prise quant à d’éventuelles mesures de réadaptation, cas échéant à la mise en œuvre de celles-ci (ATF 129 V 283). La décision portant sur l’allocation d’une rente transitoire doit mentionner qu’elle sera remplacée dès l’achèvement de la réadaptation ou s’il est renoncé à sa mise en œuvre. Il s’agit, en effet, d’éviter de faire naître de faux espoirs quant au montant de la rente ordinaire ou « définitive », pour reprendre la terminologie de l’art. 30 OLAA (ATF 139 V 514 consid. 2.3 et les références).</w:t>
      </w:r>
    </w:p>
    <w:p>
      <w:r>
        <w:rPr>
          <w:b/>
        </w:rPr>
        <w:t>E. 12.2</w:t>
      </w:r>
    </w:p>
    <w:p>
      <w:r>
        <w:t>Chez les assurés actifs, le degré d'invalidité doit être évalué sur la base d'une comparaison des revenus. Pour cela, le revenu que l'assuré aurait pu obtenir s'il n'était pas invalide est comparé avec celui qu'il pourrait obtenir en exerçant</w:t>
      </w:r>
    </w:p>
    <w:p>
      <w:r>
        <w:t>A/4021/2022 - 16/28 -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12.3</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12.4</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 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(arrêt 9C_439/2020 du 18 août 2020 consid. 4.4). Cela pourra être le cas lorsque l'employeur a laissé entrevoir une telle perspective d'avancement ou a donné des assurances en ce sens. En revanche, de simples déclarations d'intention de l'assuré ne suffisent pas ; l'intention de progresser sur le plan professionnel doit s'être manifestée par des étapes concrètes, telles que la fréquentation d'un cours, le début d'études ou la passation d'examens. Le point de savoir si le salaire réel aurait augmenté grâce à un développement des capacités professionnelles individuelles, notamment un changement de profession, doit être établi au degré de la vraisemblance prépondérante (cf. arrêt du Tribunal fédéral 8C_45/2022 du 3 août 2022 consid. 3.2 et les références).</w:t>
      </w:r>
    </w:p>
    <w:p>
      <w:r>
        <w:rPr>
          <w:b/>
        </w:rPr>
        <w:t>E. 12.5</w:t>
      </w:r>
    </w:p>
    <w:p>
      <w:r>
        <w:t>En l'absence d'un revenu effectivement réalisé – soit lorsque la personne assurée, après la survenance de l'atteinte à la santé, n'a pas repris d'activité lucrative ou alors aucune activité normalement exigible –, le revenu d'invalide</w:t>
      </w:r>
    </w:p>
    <w:p>
      <w:r>
        <w:t>A/4021/2022 - 17/28 - peut être évalué sur la base de salaires fondés sur les données statistiques résultant de l'ESS (ATF 148 V 174 consid. 6.2 et les références ; ATF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précité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w:t>
      </w:r>
    </w:p>
    <w:p>
      <w:r>
        <w:t>A/4021/2022 - 18/28 - l'ESS publiée au moment déterminant de la décision querellée (ATF 143 V 295 consid. 4 et les références ; arrêt du Tribunal fédéral 8C_801/2021 du 28 juin 2022 consid. 3.6). Les tableaux TA1, T1 et T17 de l’ESS 2020 ont été publiés le 23 août 2022 ; l’ESS 2018, le 21 avril 2020 ; l’ESS 2016, le 26 octobre 2018 (étant précisé que le tableau T1_tirage_skill_level a été corrigé le 8 novembre 2018) ; et l’ESS 2014, le</w:t>
      </w:r>
    </w:p>
    <w:p>
      <w:r>
        <w:rPr>
          <w:b/>
        </w:rPr>
        <w:t>E. 15</w:t>
      </w:r>
    </w:p>
    <w:p>
      <w:r>
        <w:t>avril 2016. Dans un arrêt de principe, le Tribunal fédéral a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Depuis la 10ème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w:t>
      </w:r>
    </w:p>
    <w:p>
      <w:r>
        <w:t>A/4021/2022 - 19/28 - éléments qui peuvent influencer le revenu d'une activité lucrative (ATF 148 V 174 consid. 6.3 et les références ; ATF 135 V 297 consid. 5.2 ;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ATF 146 V 16 consid. 4.1 et les références ;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ATF 126 V 75 consid. 5b/bb et les références ; arrêt du Tribunal fédéral 8C_608/2021 du 26 avril 2022 consid. 3.3 et les références). 13.</w:t>
      </w:r>
    </w:p>
    <w:p>
      <w:r>
        <w:t>13.1 En l'espèce, dans la mesure où il n'y avait plus lieu d'attendre de la continuation du traitement médical une sensible amélioration de l'état du recourant en tout cas au 31 mars 2022, l'intimée était fondée à fixer le droit éventuel à la rente dès le 1er avril 2022. Il ressort du dossier que l'AI ne s'est pas encore prononcée sur d'éventuelles mesures professionnelles (pièce 223 p. 1). Il n'est pas nécessaire d'examiner si, au moment où la décision sur opposition litigieuse a été rendue, d'éventuelles mesures de réadaptation au sens des art. 8ss de la loi fédérale sur l'assurance- invalidité du 19 juin 1959 [LAI ‑ RS 831.20]) étaient envisagées, puisque l'intimée peut examiner, en vertu de l'art. 30 al. 1 OLAA, si le recourant a droit à une rente transitoire, en prenant en considération la situation de l'assuré non encore réadapté à ce moment, c'est-à-dire en calculant cette prestation sur la base de l'incapacité de gain existant à ce moment-là (cf. arrêts du Tribunal fédéral U.434/04 du 27 mars 2006 consid. 3.3 ; U.331/04 du 31 octobre 2005 consid. 4.1 ; cf. également ATAS/1098/2010 du 18 octobre 2010 consid. 10b ; ATAS/535/2006 du 31 mai 2006 consid. 11 ; arrêt de la Ie Cour des assurances sociales du Tribunal cantonal de l'État de Fribourg 605 2021 98 du 6 septembre 2022 consid. 5.1 et 5.3). Ceci étant précisé, comme il y a lieu d'examiner les conditions du droit à la rente d'invalidité dès le 1er avril 2022, la comparaison des revenus doit se faire au regard de cette année. 13.2 S'agissant du revenu sans invalidité que le recourant aurait pu obtenir en 2022 dans son ancienne activité s’il n’avait pas été atteint dans sa santé, contrairement à ce qu'il prétend, on ne peut tenir compte du salaire fixé par la Convention nationale du secteur principal de la construction en Suisse (CN). En</w:t>
      </w:r>
    </w:p>
    <w:p>
      <w:r>
        <w:t>A/4021/2022 - 20/28 - effet, cette dernière s'applique aux entreprises suisses et étrangères travaillant sur territoire suisse, respectivement aux parties d'entreprises, aux sous-traitants et aux tâcherons indépendants qui emploient des travailleurs lorsqu'ils exercent leur principale activité, c'est-à-dire l'activité prépondérante dans le secteur principal de la construction (art. 2 al. 1, disponible sur : https://www.service- cct.ch/gav/100001/version/16/vertrag/11825?lan=fr-ch). Or, l'ancien employeur du recourant (cf. la déclaration de sinistre du 11 septembre 2019 [pièce 1]) est, selon l'extrait du registre du commerce du canton de Genève, une société active dans l'aménagement et l'entretien de jardins, la plantation de toutes espèces végétales, la construction de bâtiments de jardin, l'installation de systèmes d'irrigations et de clôtures ainsi que la construction ou l'installation de piscines. Il ne s'agit pas d'une entreprise qui effectue majoritairement des travaux dans le secteur principal de la construction. Du reste, l'ancien employeur déterminait le salaire du recourant sur la base de la CCT Parcs et Jardins Genève (pièce 209), dont l'art. 1.2 indique qu'elle s'applique à tous les employeurs, toutes les entreprises, les secteurs et parties d'entreprises qui exécutent à titre principal ou accessoire des travaux du ressort de la branche paysagère, à savoir : la création et l'entretien des parcs et jardins ; la création et l'entretien des terrains extérieurs de sport et de jeux ; la pose de clôtures dans les jardins, les parcs et les terrains de sport ; la pose de piscines ; l'installation de systèmes d'arrosage intégrés ; les travaux de pépinières ; et l'élagage, le soin aux arbres (pièce 219). Ainsi, même si au moment de l'accident, le recourant travaillait au service de son ancien employeur pour la construction et l'aménagement de piscines (pièce 179 p. 6 et 9), soit une activité qui rentre dans le champ d'application de la CCT Parcs et Jardins Genève, il n'était pas occupé dans une entreprise de construction au sens de l'art. 2 CN. On ne peut pas non plus fixer le salaire de valide du recourant sur la base de l'attestation de l'ancien employeur du 2 décembre 2022, selon laquelle le salaire mensuel brut du recourant aurait été de CHF 5'280.- en 2022. En effet, ce salaire correspond à celui d'un jardinier avec CFC ou diplôme équivalent en 3ème année de pratique après l'apprentissage (art. 9 de la CCT Parcs et Jardins Genève [pièce 219 p. 4]). Or, le recourant, qui n'est pas titulaire d'un diplôme (pièce 147 p. 13), n'a même pas allégué avoir entrepris des démarches particulières afin de commencer une formation en vue d'obtenir un diplôme dans le domaine considéré. Faute d'éléments concrets permettant de rendre vraisemblable que le recourant aurait suivi une formation pour pouvoir progresser sur le plan professionnel et salarial, il convient de se référer aux premières déclarations de l'ancien employeur pour déterminer le revenu de valide du recourant. D'autant plus qu'il est peu probable que le recourant ait pu percevoir un tel salaire puisque, engagé le 29 octobre 2018 (pièce 1), il n'avait collaboré au service de son ancien employeur que pendant onze mois environ avant l'accident du 9 septembre 2019.</w:t>
      </w:r>
    </w:p>
    <w:p>
      <w:r>
        <w:t>A/4021/2022 - 21/28 - Selon les premiers renseignements communiqués à l'intimée le 22 février 2022 (pièce 209), le recourant aurait obtenu en 2022 un salaire mensuel brut de CHF 4'905.-, correspondant à celui d'un aide-jardinier en 4ème année de pratique (art. 9 de la CCT Parcs et Jardins Genève [pièce 219 p. 4]). On ne saurait considérer, comme l'allègue le recourant, que l'intimée, lors de sa conversation téléphonique avec l'ancien employeur en date du 21 février 2022 (pièce 203), aurait influencé (en défaveur du recourant) le contenu des informations qui lui ont été transmises par l'ancien employeur le lendemain. Au cours de cet entretien, l'intimée a demandé à ce dernier de lui faire parvenir les fiches de salaires 2018-2019 et l'évolution de salaire en 2022 pour un aide- jardinier (pièce 203), soit la profession exercée par le recourant selon la déclaration de sinistre du 11 septembre 2019. Autrement dit, l'intimée a réclamé les informations nécessaires à la détermination du revenu de valide conformément aux données ressortant du dossier. Comme le salaire mensuel brut de CHF 4'905.- était valable jusqu'au 31 décembre 2022 (art. 39 de la CCT Parcs et Jardins Genève [pièce 219 p. 13]), il n'y a pas lieu de l'adapter à l'évolution des salaires, comme le voudrait le recourant. En conséquence, le revenu sans invalidité à retenir est celui de CHF 63'765.- (4'905.- × 13 mois [art. 13 de la CCT précitée]) en 2022. 13.3 En ce qui concerne le revenu avec invalidité, dès lors que le recourant n’a pas repris d’activité professionnelle, il convient de l'évaluer sur la base des statistiques salariales figurant dans l’ESS. En ce qui concerne l’année de référence des tableaux statistiques à appliquer, l’ESS 2018 a été publiée le 21 avril 2020 ; l’ESS 2020, le 23 août 2022. Dès lors qu’au moment où la décision litigieuse a été rendue, le 27 octobre 2022, l’intimée disposait des données 2020, le salaire avec invalidité doit être déterminé sur la base de l'ESS 2020 (arrêt du Tribunal fédéral 8C_655/2016 du 4 août 2017 consid. 6.3) et être indexé jusqu’à la date de l’ouverture (éventuel) du droit à la rente, soit le 1er avril 2022 (ATF 129 V 222 consid. 4.1 et 4.2). Ainsi, il y a lieu de se référer au tableau TA1_tirage_skill_level de l'ESS 2020, dont il ressort que le revenu statistique tiré d'activités physiques ou manuelles simples dans le secteur privé s'élève à CHF 5'261.- pour un homme (niveau 1, total, part au 13ème salaire comprise), ou à CHF 63'132.- par année pour un plein temps (5'261 × 12). Contrairement à ce que prétend le recourant, on ne peut pas se référer aux salaires mensuels de secteurs particuliers (ici : il invoque la ligne 45-96, secteur 3 [services]). En effet, selon le registre de l'office cantonal de la population et des migrations (OCPM), le recourant est arrivé en Suisse le 2 mars 1989. Depuis lors, il a exercé diverses activités auprès de différentes entreprises notamment en tant que jardinier, paysagiste, déménageur, ou maçon (pièce 147 p. 13). Ainsi, avant son atteinte à la santé, le recourant ne s'est pas cantonné à un seul domaine</w:t>
      </w:r>
    </w:p>
    <w:p>
      <w:r>
        <w:t>A/4021/2022 - 22/28 - pendant de nombreuses années. Il ne se trouve dès lors pas dans la situation particulière dans laquelle il aurait travaillé de nombreuses années dans le même domaine d'activités avant son atteinte à la santé et où une activité dans un autre domaine n'entrerait pratiquement plus en ligne de compte, conditions requises par la jurisprudence pour s'écarter de la valeur médiane (« total secteur privé ») des salaires statistiques et se référer aux salaires mensuels de secteurs particuliers, voire d'une branche particulière (dans ce sens : arrêt du Tribunal fédéral 8C_405/2021 du 9 novembre 2021 consid. 5.2.3). Ceci étant précisé,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l’OFS), ce qui porte le salaire annuel à CHF 65'815.11 pour un plein temps (63'132 × 41.7 / 40). Il y a ensuite lieu d'indexer ce montant à 2022, année déterminante pour la comparaison des revenus. Selon le tableau publié par l'OFS le 1er juin 2022, les salaires nominaux des hommes ont diminué de 0.7% en 2021 (disponible sur : https://www.bfs.admin.ch/bfs/fr/home/statistiques/catalogues-banques- donnees.assetdetail.22304313.html). Selon l'estimation trimestrielle de l'évolution des salaires nominaux publiée par l'OFS le 1er septembre 2022 (disponible sur : https://www.bfs.admin.ch/bfs/fr/home/actualites/quoi-de- neuf.assetdetail.23104791.html), soit la plus récente au moment déterminant de la décision litigieuse du 27 octobre 2022 (cf. arrêt du Tribunal fédéral 8C_659/2022 du 2 mai 2023 consid. 7.2), les salaires nominaux ont augmenté de 2% en 2022. Il s'ensuit que le revenu d'invalide s'élève à CHF 66'661.49 pour un plein temps (65'815.11 - 460.71 en 2021 = 65'354.40 + 1'307.09 en 2022 = 66'661.49) en 2022. L'intimée a appliqué un abattement de 10% pour tenir compte des limitations fonctionnelles du recourant. Ce dernier, par contre, estime que ses restrictions physiques justifient une réduction du salaire statistique de 20%. Or, dans un arrêt 8C_471/2017 du 16 avril 2018, qui concernait un assuré, âgé de 58 ans au moment de la décision litigieuse, ayant travaillé exclusivement dans le secteur de la restauration au cours des trente-cinq années précédant son accident, le plus souvent comme barman, ayant subi une fracture de la 2e phalange du 4e doigt de la main gauche (non dominante), nécessitant une réduction ouverte et une ostéosynthèse par deux vis de compression, avec une évolution compliquée par une algoneurodystrophie, et entraînant des limitations dans toutes les activités nécessitant les mouvements répétitifs ainsi que l'habilité manuelle fine et les</w:t>
      </w:r>
    </w:p>
    <w:p>
      <w:r>
        <w:t>A/4021/2022 - 23/28 - efforts de la main gauche, mais n'empêchant pas l'assuré de disposer d'une capacité de travail totale dans une activité purement mono-manuelle droite, le Tribunal fédéral a estimé qu'un abattement de 10% tenait suffisamment compte des limitations présentées par l'assuré et a annulé le jugement cantonal qui avait porté le taux d'abattement à 15% (consid. 5.3). Au regard de cette casuistique, similaire au présent cas en termes de capacité de travail résiduelle et de limitations fonctionnelles, l'abattement de 20% invoqué par le recourant apparaît trop élevé, d'autant qu'il n’y a pas restriction de la main dominante droite (pièce 147 p. 3 et 9 ; pièce 179 p. 6). À toutes fins utiles, il sera relevé que, pour des personnes considérées comme mono-manuelles et limitées à des activités légères, il existe suffisamment de possibilités d'emploi dans un marché équilibré du travail (arrêt du Tribunal fédéral 8C_772/2020 du 9 juillet 2021 consid. 5.6 et les références). Les activités de vérification et de contrôle de produits finis (dans une position assise) dans différents secteurs économiques, sont par exemple compatibles avec les limitations du recourant (cf. arrêt du Tribunal fédéral 8C_100/2012 du 29 mars 2012 consid. 3.4, qui considère qu'il y a suffisamment d'opportunités réalistes sur un marché du travail équilibré pour les personnes qui ne peuvent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Pour le surplus, l'âge du recourant (57.5 ans au 1er avril 2022, moment déterminant) ne justifie pas un taux d’abattement. En effet, au vu des divers emplois qu'il a exercés, il dispose d'une certaine capacité d'adaptation sur le plan professionnel susceptible, le cas échéant, de compenser les désavantages compétitifs liés à son âge. Quoi qu'il en soit, dans un arrêt concernant une assurée âgée de 58 ans au moment de la naissance d’un éventuel droit à la rente, le Tribunal fédéral a rappelé que dans la mesure où les activités envisagées du niveau de compétence 1 (comme en l'occurrence) ne requièrent ni formation, ni expérience professionnelle spécifique, les effets pénalisants au niveau salarial induits par l'âge ne peuvent pas être considérés comme suffisamment établis. En outre, ces emplois non qualifiés sont, en règle générale, disponibles indépendamment de l’âge de l’intéressé sur un marché du travail équilibré (arrêt 8C_608/2021 du 26 avril 2022 consid. 4.3.2 et les références). La durée de l'absence du marché du travail ne constitue pas non plus une circonstance déterminante pour un abattement dans le contexte d'une activité adaptée relevant de tâches manuelles simples (cf. arrêt 8C_608/2021 précité consid. 4.3.3 et la référence). L'absence d'expérience et de formation ne joue pas de rôle sur les perspectives salariales lorsque le revenu d'invalide est déterminé en référence au salaire</w:t>
      </w:r>
    </w:p>
    <w:p>
      <w:r>
        <w:t>A/4021/2022 - 24/28 -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(arrêt du Tribunal fédéral 8C_118/2021 du 21 décembre 2021 consid. 6.3.2). La prise en compte d'un abattement en raison des années de service ne se justifie guère dans le cadre du niveau de compétences 1, l'influence de la durée de service sur le salaire étant peu importante dans cette catégorie d'emplois (arrêt du Tribunal fédéral 8C_280/2022 du 1er mars 2023 consid. 7.2.4). Le critère de la nationalité du recourant (français) ne justifie pas non plus d'abattement sur le salaire statistique, d’autant qu’il ne l'a pas empêché de trouver un emploi en Suisse et que les salaires statistiques sont établis en fonction de la population résidente aussi bien suisse qu'étrangère (arrêt du Tribunal fédéral I.640/00 du 16 avril 2002 consid. 4d/bb [résumé in : REAS 2002 p. 308]). Partant, il n'y a pas lieu d'appliquer un abattement supérieur à 10%. Il en résulte que le revenu d'invalide s'élève à CHF 59'995.34 (66'661.49 - 6'666.15) en 2022. 13.4 En conséquence, le revenu d'invalide (CHF 59'995.34), comparé avec le revenu sans invalidité de CHF 63'765.-, conduit à un degré d'invalidité de 5.9%, insuffisant pour ouvrir droit à une rente (art. 18 al. 1 LAA). 14. Reste encore à vérifier le degré de l’IPAI accordée (5%). 14.1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 ; elle ne doit pas excéder le montant maximum du gain annuel assuré à l'époque de l'accident et elle est échelonnée selon la gravité de l'atteinte à l'intégrité (al. 1, 2ème phr.).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w:t>
      </w:r>
    </w:p>
    <w:p>
      <w:r>
        <w:t>A/4021/2022 - 25/28 -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14.2 Selon l’art. 36 OLAA, édicté conformément à la délégation de compétence de l’art. 25 al. 2 LAA, une atteinte à l'intégrité est réputée durable lorsqu'il est prévisible qu'elle subsistera avec au moins la même gravité pendant toute la vie (al. 1, 1ère phr.) ; elle est réputée importante lorsque l'intégrité physique ou mentale subit, indépendamment de la diminution de la capacité de gain, une altération évidente ou grave (al. 1, 2ème phr.).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 Cette disposition a été jugée conforme à la loi en tant qu'elle définit le caractère durable de l'atteinte (ATF 133 V 224 consid. 2 ; arrêt du Tribunal fédéral U.401/06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 arrêt du Tribunal fédéral U.134/03 du 12 janvier 2004 consid. 5.2). 14.3 Depuis le 1er janvier 2016, le montant maximum du gain assuré s'élève à CHF 148'200.- par an et à CHF 406.- par jour (art. 22 al. 1 OLAA). 14.4 L’annexe 3 à l'OLAA comporte un barème – reconnu conforme à la loi et non exhaustif (ATF 124 V 29 consid. 1b et les références ; 124 V 209</w:t>
      </w:r>
    </w:p>
    <w:p>
      <w:r>
        <w:t>A/4021/2022 - 26/28 -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ou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w:t>
      </w:r>
    </w:p>
    <w:p>
      <w:r>
        <w:rPr>
          <w:b/>
        </w:rPr>
        <w:t>E. 15.1</w:t>
      </w:r>
    </w:p>
    <w:p>
      <w:r>
        <w:t>En l'espèce, dans son rapport du 16 février 2022 (pièce 200), la Dre C______, a, après avoir étudié le dossier du recourant, y compris radiologique, et procédé à son examen clinique (cf. également pièce 179), indiqué, en connaissance des limitations de celui-ci, que les fractures multi-opérées qu'il avait subies au niveau de l'annulaire et de l'auriculaire de la main gauche avaient laissé comme séquelle une raideur de ces deux doigts principalement au niveau IPP avec un début d'arthrose interphalangienne proximale. Elle a relevé que la table 1 de la SUVA relative au taux d'atteinte à l'intégrité résultant de troubles fonctionnels des membres supérieurs (disponible sur : https://www.suva.ch/fr-ch/download/fiches-thematiques/tableau-01---atteinte-a-l- integrite-resultant-de-troubles-fonctionnels-des-membres-superieurs--2870/1.F) ne prévoit aucun taux d'atteinte à l'intégrité pour les pertes de mobilité des doigts longs. Elle a ajouté que la table 5 de la SUVA relative au taux d'atteinte à l'intégrité résultant d'arthroses (disponible sur : https://www.suva.ch/fr-ch/download/fiches-</w:t>
      </w:r>
    </w:p>
    <w:p>
      <w:r>
        <w:t>A/4021/2022 - 27/28 - thematiques/tableau-05---atteinte-a-l-integrite-resultant-d--arthroses--2870/5.F) ne donne droit à aucune IPAI en cas d'arthrose des doigts longs. Dans ce cas, la Dre C______ a appliqué par analogie le barème des indemnités pour atteinte à l'intégrité de l'annexe 3 à l'OLAA, qui indique que la perte d'une phalange du pouce ou d'au moins deux phalanges d'un autre doigt donne droit à un taux d'atteinte de 5%. La médecin a évalué la perte de fonction des doigts D3, D4 et D5 du recourant, et conclu que celle-ci aboutissait à l'octroi d'une IPAI de 5%. Le recourant considère qu'il a droit à un taux de l'IPAI de 25%, en alléguant qu'il a un poignet bloqué, dans la mesure où sa main gauche n'est plus utilisable ou au prix d'importantes douleurs à cause du SDRC développé après l'intervention chirurgicale. Or, le recourant se limite à substituer sa propre évaluation à celle de la Dre C______. Aucun avis médical au dossier ne procède à une évaluation divergente de son atteinte à l'intégrité ou ne permet de mettre en doute l'appréciation de cette spécialiste.</w:t>
      </w:r>
    </w:p>
    <w:p>
      <w:r>
        <w:rPr>
          <w:b/>
        </w:rPr>
        <w:t>E. 15.2</w:t>
      </w:r>
    </w:p>
    <w:p>
      <w:r>
        <w:t>Aussi le taux de l'atteinte à l'intégrité arrêté à 5% ne peut-il être que confirmé.</w:t>
      </w:r>
    </w:p>
    <w:p>
      <w:r>
        <w:rPr>
          <w:b/>
        </w:rPr>
        <w:t>E. 16</w:t>
      </w:r>
    </w:p>
    <w:p>
      <w:r>
        <w:t>Au vu de ce qui précède, par appréciation anticipée des preuves (ATF 122 II 464 consid. 4a), il n'est pas nécessaire d'entendre le Dr B______, M. E______, et les parties, lesquelles se sont déjà exprimées par écrit, ni de mettre en œuvre une expertise médicale. Le recours est rejeté. Le recourant, qui succombe, n'a pas droit à des dépens (art. 61 let. g LPGA a contrario). Pour le surplus, la procédure est gratuite (art. 61 let. fbis LPGA a contrario).</w:t>
      </w:r>
    </w:p>
    <w:p>
      <w:r>
        <w:t>A/4021/2022 - 28/28 -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