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ATAS/958/2016 vom 22. November 2016</w:t>
      </w:r>
    </w:p>
    <w:p>
      <w:r>
        <w:t>GE Cour de justice, 2016-11-22, FR</w:t>
      </w:r>
    </w:p>
    <w:p>
      <w:r>
        <w:rPr>
          <w:b/>
        </w:rPr>
        <w:t xml:space="preserve">Quelle: </w:t>
      </w:r>
      <w:r>
        <w:t>https://mcp.opencaselaw.ch/entscheid/ge_gerichte_ATAS_958_2016</w:t>
      </w:r>
    </w:p>
    <w:p>
      <w:r>
        <w:t>FR: GE_GERICHTE ATAS/958/2016 du 22 novembre 2016</w:t>
      </w:r>
    </w:p>
    <w:p>
      <w:r>
        <w:t>IT: GE_GERICHTE ATAS/958/2016 del 22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En l’espèce, les faits déterminants remontent à 2013, voire à 2009, et la décision querellée du 7 avril 2016 est postérieure à l’entrée en vigueur des modifications de la LAI suscitées. Par conséquent, du point de vue matériel, le droit éventuel aux prestations d’invalidité doit donc être examiné au regard des modifications de la LAI consécutives à la 4ème, 5ème révision et la révision 6a de cette loi, dans la mesure de leur pertinence (ATF 130 V 445 et les références; voir également ATF 130 V 329). Cela étant,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w:t>
      </w:r>
    </w:p>
    <w:p>
      <w:r>
        <w:t>A/1445/2016 - 8/20 -</w:t>
      </w:r>
    </w:p>
    <w:p>
      <w:r>
        <w:rPr>
          <w:b/>
        </w:rPr>
        <w:t>E. 4</w:t>
      </w:r>
    </w:p>
    <w:p>
      <w:r>
        <w:t>Le délai de recours est de 30 jours. Interjeté dans les forme et délai prévus par la loi, le présent recours est recevable (art. 56ss LPGA).</w:t>
      </w:r>
    </w:p>
    <w:p>
      <w:r>
        <w:rPr>
          <w:b/>
        </w:rPr>
        <w:t>E. 5</w:t>
      </w:r>
    </w:p>
    <w:p>
      <w:r>
        <w:t>Le litige porte sur la question de savoir si le recourant peut être mis au bénéfice d’un trois quarts de rente dès le 1er juillet 2015, et si l’intimé peut l’obliger à suivre un traitement contre son addiction à l’alcool.</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arrêt du Tribunal fédéral I.520/05 du 28 décembre 2006 consid. 3.1 ; arrêt du Tribunal fédéral I.554/06 du 21 août 2006 consid. 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I.559/02 du 31 janvier 2003 consid. 3.2 et les arrêts cités). La réglementation sur la révision ne saurait en effet constituer un fondement juridique à un réexamen sans condition du droit à la rente (arrêt du Tribunal fédéral I.406/05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t>A/1445/2016 - 9/20 -</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w:t>
      </w:r>
    </w:p>
    <w:p>
      <w:r>
        <w:rPr>
          <w:b/>
        </w:rPr>
        <w:t>E. 10</w:t>
      </w:r>
    </w:p>
    <w:p>
      <w:r>
        <w:t>En l’espèce, l’intimé a reconnu le droit du recourant à une rente entière du 1er janvier 2014 au 30 juin 2015, puis l’a réduite à un quart de rente à compter du</w:t>
      </w:r>
    </w:p>
    <w:p>
      <w:r>
        <w:t>A/1445/2016 - 10/20 - 1er juillet 2015. Il convient donc d’examiner si la situation du recourant a subi un changement important justifiant cette réduction. L’intimé, se référant à l’avis du SMR du 28 octobre 2015, a retenu deux diagnostics invalidants, soit les douleurs de la hanche et le cancer de la gorge. Selon l’intimé, le recourant présentait une incapacité de travail totale dans toute activité depuis janvier 2013. À compter du 9 mars 2015, en revanche, sa capacité de travail était de 50% dans une activité adaptée à ses limitations fonctionnelles. Le recourant ne conteste pas les conclusions de l’avis du SMR précité, lequel se base sur les rapports – non contradictoires - des médecins l’ayant examiné en raison des douleurs de la hanche, du cancer de la gorge et de l’ablation de la vésicule biliaire. Par conséquent, il y lieu de retenir que le recourant disposait d’une capacité de travail de 50% dans une activité adaptée à compter du 9 mars 2015. L’état de santé du recourant s’est donc amélioré dès cette date, ce qui justifie une révision.</w:t>
      </w:r>
    </w:p>
    <w:p>
      <w:r>
        <w:rPr>
          <w:b/>
        </w:rPr>
        <w:t>E. 11</w:t>
      </w:r>
    </w:p>
    <w:p>
      <w:r>
        <w:t>a. Reste à se prononcer sur le degré d’invalidité du recourant. b. L’art. 28 al. 2 LAI, en vigueur depuis le 1er janvier 2008, dispose que l’assuré a droit à une rente entière s’il est invalide à 70% au moins, à trois quarts de rente s’il est invalide à 60% au moins, à une demi-rente s’il est invalide à 50% au moins ou à un quart de rente s’il est invalide à 40% au moins.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Il convient par conséquent de procéder à une nouvelle comparaison des revenus chaque fois qu'il est admis qu'un changement important des circonstances propre à influencer le degré d'invalidité est survenu (arrêt du Tribunal fédéral 9C_522/2011 du 8 février 2012 consid. 4.2).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A/1445/2016 - 11/20 -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Cela dit, il convient de relever que les rétributions fixées par les conventions collectives de travail sont sensiblement inférieures aux salaires moyens usuels dans une branche, de sorte que seuls ceux-ci sont représentatifs pour établir le revenu déterminant (arrêt du Tribunal fédéral U.63/06 du 7 mars 2007 consid. 3.3.1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A/1445/2016 - 12/20 - comme la mieux appropriée (ATF 126 V 75 consid. 6 ; 123 V 150 consid. 2 et les références; arrêt du Tribunal fédéral 8C_337/2009 du 18 février 2010 consid. 7.5).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w:t>
      </w:r>
    </w:p>
    <w:p>
      <w:r>
        <w:t>a. En l’espèce, comme indiqué précédemment, il n’est pas contesté que l’incapacité de travail dans toute activité s’est maintenue jusqu’au 9 mars 2015, date à compter de laquelle la capacité de travail était de 50% dans une activité adaptée aux limitations fonctionnelles. En conséquence, dans la mesure où le changement important de la capacité de travail ayant une incidence sur la capacité de gain remontait à mars 2015, il convient de se placer en 2015 pour procéder à la comparaison des revenus, et non en 2014 comme retenu à tort par l’intimé. b. Il y a lieu de se référer aux données communiquées par l’employeur en août 2009 pour déterminer le revenu sans invalidité, ce que le recourant ne conteste pas. Celui-ci percevait un salaire horaire brut de CHF 26.-, complété par un treizième salaire. Le salaire annuel s’élève donc à CHF 54'080.-. Réactualisé à 2015 selon l’indice suisse des salaires nominaux pour les hommes (ISS ; en 2009 : 2136 et en 2015 : 2226), ce revenu est de CHF 56'359.- (54'080 × 2226/ 2136). c. Le recourant conteste l’application de l’ESS pour déterminer le revenu avec invalidité, au motif que celle-ci comprend tous les types d’activités, alors qu’il peut uniquement effectuer un travail manuel léger. C’est toutefois à juste titre que l’intimé s’est fondé sur les salaires résultant de l’ESS, et non sur une convention collective de travail, comme le soutient le recourant, dès lors que celui-ci n’a pas repris d’activité lucrative.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D’après l’ESS 2014, ce revenu s’élève à CHF 5’312.- par mois (tableau TA1_tirage_skill_level, niveau 1, total, homme, part au 13ème salaire comprise) ou à CHF 63’744.- par année (5'312 × 12). Ce salaire hypothétique se base toutefois sur une durée hebdomadaire de travail de 40 heures, inférieure à la moyenne usuelle dans les entreprises. Il convient dès lors de l’ajuster à la durée hebdomadaire normale de travail en 2014, lequel est de 41.7 heures (tableau « Durée normale du travail dans les entreprises selon la division économique » de l’office fédéral de la statistique), ce qui porte le salaire annuel à CHF 66’453.- pour un plein temps (63'744 × 41.7/ 40). Réactualisé à 2015 selon l’indice suisse des salaires nominaux pour les hommes (ISS ; en 2014 : 2220 et en 2015 : 2226), le revenu avec invalidité est de</w:t>
      </w:r>
    </w:p>
    <w:p>
      <w:r>
        <w:t>A/1445/2016 - 13/20 - CHF 33’316.- au vu de la capacité de travail raisonnablement exigible de 50% ([66'453 × 2226/ 2220]/ 2). d. L’intimé a opéré un abattement de 10% afin de tenir compte des limitations fonctionnelles et du taux d’occupation. Le recourant conteste ledit abattement, considérant qu’en raison de ses nombreuses limitations fonctionnelles et de sa capacité à n’exercer qu’une activité à 50%, il devrait être porté à 25%. La chambre de céans relève que l’abattement de 10% fixé par l’intimé tient déjà compte des limitations fonctionnelles retenues et du taux d’occupation de 50%. L'âge, la nationalité, les années de service auprès de l'ancien l'employeur ne constituent pas, dans le cas du recourant, des éléments susceptibles d'avoir un effet sur le montant du salaire que celui-ci pourrait prétendre sur le marché du travail. Il est en effet encore jeune (46 ans en 2015) et titulaire d’un permis C – étant relevé à cet égard que les salaires statistiques sont établis en fonction de la population résidente aussi bien suisse qu’étrangère (arrêt du Tribunal fédéral I.640/00 du</w:t>
      </w:r>
    </w:p>
    <w:p>
      <w:r>
        <w:rPr>
          <w:b/>
        </w:rPr>
        <w:t>E. 16</w:t>
      </w:r>
    </w:p>
    <w:p>
      <w:r>
        <w:t>En l’espèce, même si dans le dispositif de sa décision, l’intimé ne se prononce pas sur l’obligation pour le recourant de se soumettre à un traitement médical contre son éthylisme, le renvoi de la cause à l’intimé pour qu’il statue sous la forme d’une décision au sens de l’art. 49 al. 1 LPGA n’est pas compatible avec le droit des parties à un traitement rapide de leur cause en lien avec le principe de l’économie de procédure. L’intimé a expliqué de façon détaillée dans le courrier du 11 avril 2016, ainsi qu’en cours d’instance (dans sa réponse du 1er juin 2016) les raisons pour lesquelles il exige du recourant le suivi régulier d’un traitement médical spécialisé contre la consommation de l’alcool. Il s’ensuit que sa position sur le bien-fondé de cette mesure est connue et que l’intimé ne changerait pas sa position s’il était invité à rendre une décision formelle. De surcroît, l’injonction formelle de se soumettre à tel traitement, formulée pour la première fois dans le courrier du 11 avril 2016, touche la situation individuelle et concrète du recourant, lequel se voit imposer une obligation. Ledit courrier devrait donc être assimilé à une décision au sens de l’art. 49 al. 1 LPGA, quand bien même il n’indique pas les voies de droit. Les</w:t>
      </w:r>
    </w:p>
    <w:p>
      <w:r>
        <w:t>A/1445/2016 - 17/20 - parties ont pris position dans leurs mémoires respectifs quant à cette injonction, étant rappelé, au surplus, qu’en concluant à son annulation dans son recours du 6 mai 2016, le recourant s’est prononcé en temps utile à cet égard, dans la mesure où, à supposer qu’il ait reçu le courrier le 12 avril 2016, il disposait à tout le moins d’un délai jusqu’au 12 mai 2016 pour agir. Sur le vu de ce qui précède et en application du principe de l'économie de procédure, la chambre de céans peut entrer en matière sur la conclusion du recourant visant à l’annulation de l’injonction de suivre un traitement contre son addiction à l’alcool.</w:t>
      </w:r>
    </w:p>
    <w:p>
      <w:r>
        <w:rPr>
          <w:b/>
        </w:rPr>
        <w:t>E. 17</w:t>
      </w:r>
    </w:p>
    <w:p>
      <w:r>
        <w:t>a. L’art. 7 al. 1 LAI dispose que l’assuré doit entreprendre tout ce qui peut être raisonnablement exigé de lui pour réduire la durée et l’étendue de l’incapacité de travail (art. 6 LPGA) et pour empêcher la survenance d’une invalidité (art. 8 LPGA). Cette disposition consacre le principe de la réadaptation par soi- même qui est l’expression de l’obligation pour l’assuré de faire tout ce que l’on peut raisonnablement attendre de lui pour atténuer les effets de son invalidité (ATF 113 V 22 consid. 4a et les références). Ainsi doit-on pouvoir exiger de celui qui requiert des prestations qu’il prenne toutes les mesures qu’un homme raisonnable prendrait dans la même situation s’il ne pouvait attendre aucune indemnisation de tiers (arrêt du Tribunal fédéral 9C_236/2009 du 7 octobre 2009 consid. 4.2), étant précisé que les mesures qui peuvent être exigées d'un assuré doivent être aptes à atténuer les conséquences de l'atteinte à la santé (op. cit., consid. 4.4.1). Ces mesures comprennent, entre autres, des traitements médicaux au sens de l’art. 25 LAMal (art. 7 al. 2 let. d LAI). Dans le cadre de son devoir de réduire le dommage, l’assuré doit recourir à toutes les mesures médicales et thérapeutiques rendues nécessaires par son état de santé (ATF 127 V 294 consid. 4b/cc). Une mesure médicale est exigible si elle est nécessaire pour permettre d'établir un diagnostic et est sans risque pour l'intéressé, elle l'est également si elle permet d'atteindre avec une haute vraisemblance une amélioration de l'état de santé de l'intéressé (Kieser, ATSG, art. 21 n° 63). Selon la jurisprudence, il faut tenir compte, lorsqu'on examine la question de l'exigibilité d'un traitement ou d'une mesure de réadaptation, de toutes les circonstances personnelles, notamment de la situation professionnelle et sociale, de l'assuré. Cependant ce qui est déterminant, est le caractère objectif de ce qui est exigible et non pas les appréciations subjectives de l'assuré. L'exigibilité doit d'ailleurs être déterminée en relation, d'une part, avec l'étendue de la mesure, et d'autre part, avec l'importance de la prestation demandée. Du principe selon lequel les mesures qui impliquent un risque pour la vie ou la santé ne sont pas raisonnablement exigibles, on ne peut cependant conclure que toutes les mesures sont exigibles si elles ne comportent pas un tel danger. Aussi, à propos de mesures médicales qui peuvent porter une grave atteinte à l'intégrité personnelle de l'assuré, le niveau d'exigibilité ne peut être placé trop</w:t>
      </w:r>
    </w:p>
    <w:p>
      <w:r>
        <w:t>A/1445/2016 - 18/20 - haut (arrêt du Tribunal administratif fédéral C-1546/2007 du 4 avril 2008 consid. 5.3 et les références citées). Dans le même sens, l’art. 7a LAI prévoit que toute mesure servant à la réadaptation de l’assuré est raisonnablement exigible, à l’exception de celles qui ne sont pas adaptées à son état de santé. Ainsi, seul le facteur santé peut amener à définir une mesure comme non raisonnablement exigible (Message concernant la modification de la loi fédérale sur l’assurance-invalidité (5ème révision de l’AI) du 22 juin 2005, p. 4314). b. Selon la jurisprudence constante concernant les dépendances telles que sont l'alcoolisme, la pharmacodépendance et la toxicomanie, une dépendance de ce type ne constitue pas en soi une invalidité au sens de la loi ; en revanche, elle joue un rôle dans l'AI lorsqu'elle a provoqué une maladie ou un accident qui entraîne une atteinte à la santé physique ou mentale, nuisant à la capacité de gain, ou si elle résulte elle-même d'une atteinte à la santé physique ou mentale qui a valeur de maladie (ATAS/576/2008 du 14 mai 2008 et les références citées).</w:t>
      </w:r>
    </w:p>
    <w:p>
      <w:r>
        <w:rPr>
          <w:b/>
        </w:rPr>
        <w:t>E. 18</w:t>
      </w:r>
    </w:p>
    <w:p>
      <w:r>
        <w:t>En l’espèce, on ne se trouve pas dans un cas où la mesure préconisée par l’intimé constituerait un risque pour la santé du recourant, lourdement atteint par une stéatose hépatique (soit une stéatose du foie) et un cancer de la gorge. Au contraire, elle permettrait d’éviter une aggravation de son état de santé. Il est vrai, comme l’indique le recourant, que l’intimé n’a pas reconnu une incapacité de travail en raison de l’addiction à l’alcool. Là n’est toutefois pas la question. En effet, certes le Dr C______ a noté, dans son rapport relativement ancien du 11 janvier 2010, que l’éthylisme chronique n’était pas en soi un diagnostic ayant une répercussion sur la capacité de travail. En revanche, le Dr H______ a écrit, dans la lettre de sortie des HUG du 21 août 2014, que le recourant devait arrêter de boire au vu de la présence d’une stéatose hépatique macrovacuolaire déjà marquée, sans indiquer si cette atteinte influençait son aptitude à travailler. Invité à fournir des renseignements à cet égard, ledit praticien a répondu qu’il n’était pas en mesure de répondre, n’étant pas hépatologue. Il a, par contre, mentionné que la cessation de la consommation d’alcool empêcherait la détérioration du foie. Dans la mesure où le recourant bénéficie de prestations de l’AI, même si celles-ci sont actuellement sans relation avec la stéatose hépatique, il devrait arrêter de boire ; le risque que cette atteinte devienne à terme invalidante est manifeste, ce qui nécessiterait une rente plus élevée. Pour cette raison, son consentement est irrelevant, puisqu’il est obligé de recourir aux mesures appropriées pour réduire son dommage futur. En conséquence, la mesure médicale exigée par l’intimé sera confirmée.</w:t>
      </w:r>
    </w:p>
    <w:p>
      <w:r>
        <w:rPr>
          <w:b/>
        </w:rPr>
        <w:t>E. 19</w:t>
      </w:r>
    </w:p>
    <w:p>
      <w:r>
        <w:t>Le recours est admis partiellement, la décision attaquée est annulée en tant qu’elle concerne la rente, et il sera dit que le recourant a droit à une rente entière du 1er septembre 2013 au 30 juin 2015, puis à une demi-rente dès le 1er juillet 2015.</w:t>
      </w:r>
    </w:p>
    <w:p>
      <w:r>
        <w:rPr>
          <w:b/>
        </w:rPr>
        <w:t>E. 20</w:t>
      </w:r>
    </w:p>
    <w:p>
      <w:r>
        <w:t>La procédure de recours en matière de contestations portant sur l’octroi ou le refus de prestations de l’assurance-invalidité étant soumise à des frais de justice</w:t>
      </w:r>
    </w:p>
    <w:p>
      <w:r>
        <w:t>A/1445/2016 - 19/20 - (art. 69 al. 1bis LAI ; art. 89H al. 4 LPA), au vu du sort du recours, il y a lieu de condamner l’intimé au paiement d’un émolument de CHF 200.-.</w:t>
      </w:r>
    </w:p>
    <w:p>
      <w:r>
        <w:t>A/1445/2016 - 20/20 -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