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ATAS/958/2010 vom 4. März 2010</w:t>
      </w:r>
    </w:p>
    <w:p>
      <w:r>
        <w:t>GE Cour de justice, 2010-03-04, FR</w:t>
      </w:r>
    </w:p>
    <w:p>
      <w:r>
        <w:rPr>
          <w:b/>
        </w:rPr>
        <w:t xml:space="preserve">Quelle: </w:t>
      </w:r>
      <w:r>
        <w:t>https://mcp.opencaselaw.ch/entscheid/ge_gerichte_ATAS_958_2010</w:t>
      </w:r>
    </w:p>
    <w:p>
      <w:r>
        <w:t>FR: GE_GERICHTE ATAS/958/2010 du 4 mars 2010</w:t>
      </w:r>
    </w:p>
    <w:p>
      <w:r>
        <w:t>IT: GE_GERICHTE ATAS/958/2010 del 4 marzo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 demandeur, la demanderesse n’étant pas au bénéfice d’une prévoyance professionnelle. Les dates pertinentes sont, d’une part, celle du mariage, le 25 octobre 2006, d’autre part le 24 avril 2010, date à laquelle le jugement de divorce est devenu exécutoire.</w:t>
      </w:r>
    </w:p>
    <w:p>
      <w:r>
        <w:t>A/1631/2010 5/6</w:t>
      </w:r>
    </w:p>
    <w:p>
      <w:r>
        <w:rPr>
          <w:b/>
        </w:rPr>
        <w:t>E. 5</w:t>
      </w:r>
    </w:p>
    <w:p>
      <w:r>
        <w:t>Selon les documents produits, la prestation acquise pendant le mariage par le demandeur est de 7'942 fr. 60, les intérêts ayant déjà été calculés par l’institution de prévoyance défenderesse. La demanderesse ne disposant pas d’avoirs de prévoyance, le demandeur doit à son ex-épouse le montant de 3'971 fr. 30 (7'942 fr. 60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A/1631/2010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