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ATAS/956/2024 vom 2. Dezember 2024</w:t>
      </w:r>
    </w:p>
    <w:p>
      <w:r>
        <w:t>GE Cour de justice, 2024-12-02, FR</w:t>
      </w:r>
    </w:p>
    <w:p>
      <w:r>
        <w:rPr>
          <w:b/>
        </w:rPr>
        <w:t xml:space="preserve">Quelle: </w:t>
      </w:r>
      <w:r>
        <w:t>https://mcp.opencaselaw.ch/entscheid/ge_gerichte_ATAS_956_2024</w:t>
      </w:r>
    </w:p>
    <w:p>
      <w:r>
        <w:t>FR: GE_GERICHTE ATAS/956/2024 du 2 décembre 2024</w:t>
      </w:r>
    </w:p>
    <w:p>
      <w:r>
        <w:t>IT: GE_GERICHTE ATAS/956/2024 del 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56 et 60 LPG ; art. 89B de la loi sur la procédure administrative du 12 septembre 1985 [LPA - E 5 10]).</w:t>
      </w:r>
    </w:p>
    <w:p>
      <w:r>
        <w:rPr>
          <w:b/>
        </w:rPr>
        <w:t>E. 2</w:t>
      </w:r>
    </w:p>
    <w:p>
      <w:r>
        <w:t>Le litige porte sur le droit du recourant à une rente d’invalidité et à des mesures d’ordre professionnel.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t>A/3528/2023 - 7/13 - En l’occurrence, la décision querellée a certes été rendue postérieurement au 1er janvier 2022. Toutefois, la demande de prestations ayant été déposée en novembre 2016 et le délai d’attente d’une année venant à échéance en janvier 2017, un éventuel droit à une rente d’invalidité naîtrait antérieurement au 1er janvier 2022 (art. 28 al. 1 let. b et 29 al. 1 LAI), de sorte que les dispositions applicables seront citées dans leur teneur en vigueur jusqu’au 31 décembre 2021.</w:t>
      </w:r>
    </w:p>
    <w:p>
      <w:r>
        <w:rPr>
          <w:b/>
        </w:rPr>
        <w:t>E. 3.2</w:t>
      </w:r>
    </w:p>
    <w:p>
      <w:r>
        <w:t>et les références ; 125 V 256 consid. 4 et les références). En outre, les données médicales constituent un élément utile pour déterminer quels travaux on peut</w:t>
      </w:r>
    </w:p>
    <w:p>
      <w:r>
        <w:t>A/3528/2023 - 8/13 -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3.4.1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A/3528/2023 - 9/13 -</w:t>
      </w:r>
    </w:p>
    <w:p>
      <w:r>
        <w:rPr>
          <w:b/>
        </w:rPr>
        <w:t>E. 3.4.3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3.6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w:t>
      </w:r>
    </w:p>
    <w:p>
      <w:r>
        <w:t>A/3528/2023 - 10/13 -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3.8</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w:t>
      </w:r>
    </w:p>
    <w:p>
      <w:r>
        <w:t>A/3528/2023 - 11/13 -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4</w:t>
      </w:r>
    </w:p>
    <w:p>
      <w:r>
        <w:t>En l’occurrence, l’intimé se fonde sur l’expertise bidisciplinaire du 23 avril 2023 pour retenir une capacité de travail du recourant nulle comme maçon dès le 13 janvier 2016 et de 100% dans une activité adaptée à ses limitations fonctionnelles dès le 1er juillet 2016. Le recourant conteste la décision litigieuse, en faisant valoir que son état de santé s’est péjoré depuis la mesure de reclassement, qu’il n’est pas en mesure d’effectuer une activité d’agent de conditionnement au motif, d’une part, que la mesure de reclassement s’est soldée par un échec, d’autre part, que ses limitations fonctionnelles ne sont pas compatible avec une telle activité. Il allègue également, par le biais de son avocat, la présence d’un éventuel syndrome de Korsakoff, non investigué (procès-verbal de comparution personnelle du 17 juin 2024).</w:t>
      </w:r>
    </w:p>
    <w:p>
      <w:r>
        <w:rPr>
          <w:b/>
        </w:rPr>
        <w:t>E. 4.1</w:t>
      </w:r>
    </w:p>
    <w:p>
      <w:r>
        <w:t>La chambre de céans constate que les pièces médicales transmises par le recourant à l’appui de sa contestation font état d’une possible aggravation de son état de santé, par la présence, d’une part, d’un diagnostic de cirrhose hépatique d’origine éthylique ayant nécessité une hospitalisation vraisemblablement en octobre 2023 (sortie attestée le 1er novembre 2023), suite à une décompensation d’ascite inaugurale (rapport du service de gastro-entérologie et d’hépatologie des HUG du 22 novembre 2023), d’autre part, d’affections psychiques justifiant un traitement par le Dr K______, attestées par celui-ci le 28 août 2024. Enfin, l’avocat du recourant a évoqué une péjoration de l’état de santé du recourant par la présence d’un éventuel diagnostic de syndrome de Korskoff, nécessitant une investigation médicale. La possible aggravation de l’état de santé du recourant est cependant documentée postérieurement à la décision litigieuse du 27 septembre 2023, de sorte que la chambre de céans ne peut la prendre en compte dans le cadre du présent litige. Par ailleurs, aucun document médical n’atteste, en l’état, de la présence d’un diagnostic de Korskoff, ni de l’impact de celui-ci sur les aptitudes fonctionnelles du recourant. À cet égard,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w:t>
      </w:r>
    </w:p>
    <w:p>
      <w:r>
        <w:t>A/3528/2023 - 12/13 - Le recourant est ainsi invité, s’il l’estime justifié, à déposer une nouvelle demande de prestations.</w:t>
      </w:r>
    </w:p>
    <w:p>
      <w:r>
        <w:rPr>
          <w:b/>
        </w:rPr>
        <w:t>E. 4.2</w:t>
      </w:r>
    </w:p>
    <w:p>
      <w:r>
        <w:t>S’agissant de l’expertise des Drs H______ et I______, du 23 avril 2023, elle répond aux critères jurisprudentiels précités pour qu’il lui soit reconnu une pleine valeur probante. Les griefs du recourant à son égard sont fondés sur l’aggravation de son état de santé, laquelle est, comme on l’a vu, documentée postérieurement à la décision litigieuse et donc à l’expertise en cause. Les conclusions de l’expertise du 23 septembre 2023 peuvent ainsi être suivies, le recourant étant reconnu capable de travailler dans une activité adaptée à ses limitations fonctionnelles depuis le 1er juillet 2016, à un taux de 100%.</w:t>
      </w:r>
    </w:p>
    <w:p>
      <w:r>
        <w:rPr>
          <w:b/>
        </w:rPr>
        <w:t>E. 4.3</w:t>
      </w:r>
    </w:p>
    <w:p>
      <w:r>
        <w:t>Le recourant conteste le revenu d’invalide retenu par l’intimé, soit un revenu fondé sur l’ESS 2020, pour un homme, dans une activité de niveau 1, pour 41,7 heures de travail par semaine et indexé à l’année 2021, avec un abattement de 10%. Il estime qu’un revenu d’agent de conditionnement est inférieur au revenu retenu par l’intimé. À cet égard, le recourant prétend à la prise en compte d’un revenu pour un agent de conditionnement alors même qu’il estime que ses limitations fonctionnelles et sa formation inachevée l’empêchent totalement d’exercer cette activité. Quoi qu’il en soit, c’est à juste titre que l’intimé a pris en compte le salaire issu de l’ESS dès lors que le recourant a été reconnu apte à exercer toute activité respectant ses limitations fonctionnelles d’épargne des genoux et du rachis. Pour le reste, le calcul de degré d’invalidité auquel a procédé l’intimé n’est pas contesté et peut être confirmé, soit un degré de 21%. Ce taux est insuffisant pour ouvrir le droit à une rente d’invalidité</w:t>
      </w:r>
    </w:p>
    <w:p>
      <w:r>
        <w:rPr>
          <w:b/>
        </w:rPr>
        <w:t>E. 5</w:t>
      </w:r>
    </w:p>
    <w:p>
      <w:r>
        <w:t>Partant, le recours ne peut qu’être rejeté. Il convient de renoncer à la perception d'un émolument, le recourant étant au bénéfice de l'Hospice général (art. 69 al. 1bis LAI et 13 al. 1 du règlement sur les frais, émoluments et indemnités en procédure administrative du 30 juillet 1986 [RFPA - E 5 10.03]).</w:t>
      </w:r>
    </w:p>
    <w:p>
      <w:r>
        <w:t>A/3528/2023 - 13/13 -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