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ATAS/956/2023 vom 8. Dezember 2023</w:t>
      </w:r>
    </w:p>
    <w:p>
      <w:r>
        <w:t>GE Cour de justice, 2023-12-08, FR</w:t>
      </w:r>
    </w:p>
    <w:p>
      <w:r>
        <w:rPr>
          <w:b/>
        </w:rPr>
        <w:t xml:space="preserve">Quelle: </w:t>
      </w:r>
      <w:r>
        <w:t>https://mcp.opencaselaw.ch/entscheid/ge_gerichte_ATAS_956_2023</w:t>
      </w:r>
    </w:p>
    <w:p>
      <w:r>
        <w:t>FR: GE_GERICHTE ATAS/956/2023 du 8 décembre 2023</w:t>
      </w:r>
    </w:p>
    <w:p>
      <w:r>
        <w:t>IT: GE_GERICHTE ATAS/956/2023 del 8 dicembre 2023</w:t>
      </w:r>
    </w:p>
    <w:p>
      <w:pPr>
        <w:pStyle w:val="Heading2"/>
      </w:pPr>
      <w:r>
        <w:t>Erwägungen</w:t>
      </w:r>
    </w:p>
    <w:p>
      <w:r>
        <w:rPr>
          <w:b/>
        </w:rPr>
        <w:t>E. 20</w:t>
      </w:r>
    </w:p>
    <w:p>
      <w:r>
        <w:t>mars 1981 (LAA - RS 832.20) ; Que sa compétence pour juger du cas d’espèce est ainsi établie ; Qu’aux termes de l’art. 89B al. 1 LPA, le recours doit comporter les nom, prénoms,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l’assuré n’a pas déposé son recours muni d’une signature originale dans le délai légal, ni dans les deux délais qui lui avaient été impartis par le greffe de la chambre de céans pour réparation ; Que force est de constater que les conditions de recevabilité du recours n’ont pas été respectées, malgré les délais supplémentaires accordés pour le compléter ; Qu’il doit ainsi être déclaré irrecevable. * * * * *</w:t>
      </w:r>
    </w:p>
    <w:p>
      <w:r>
        <w:t>A/2747/2023 - 3/3 -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