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ATAS/956/2014 vom 25. August 2014</w:t>
      </w:r>
    </w:p>
    <w:p>
      <w:r>
        <w:t>GE Cour de justice, 2014-08-25, FR</w:t>
      </w:r>
    </w:p>
    <w:p>
      <w:r>
        <w:rPr>
          <w:b/>
        </w:rPr>
        <w:t xml:space="preserve">Quelle: </w:t>
      </w:r>
      <w:r>
        <w:t>https://mcp.opencaselaw.ch/entscheid/ge_gerichte_ATAS_956_2014</w:t>
      </w:r>
    </w:p>
    <w:p>
      <w:r>
        <w:t>FR: GE_GERICHTE ATAS/956/2014 du 25 août 2014</w:t>
      </w:r>
    </w:p>
    <w:p>
      <w:r>
        <w:t>IT: GE_GERICHTE ATAS/956/2014 del 25 agosto 2014</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5 novembre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w:t>
      </w:r>
    </w:p>
    <w:p>
      <w:r>
        <w:rPr>
          <w:b/>
        </w:rPr>
        <w:t>E. 6</w:t>
      </w:r>
    </w:p>
    <w:p>
      <w:r>
        <w:t>a)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c)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w:t>
      </w:r>
    </w:p>
    <w:p>
      <w:r>
        <w:t>- 14/23-</w:t>
      </w:r>
    </w:p>
    <w:p>
      <w:r>
        <w:t>A/3546/2012 subjectives (arrêt 9C_313/2007 du 8 janvier 2008 consid. 5.2 in fine et la référence).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rPr>
          <w:b/>
        </w:rPr>
        <w:t>E. 7</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w:t>
      </w:r>
    </w:p>
    <w:p>
      <w:r>
        <w:t>- 15/23-</w:t>
      </w:r>
    </w:p>
    <w:p>
      <w:r>
        <w:t>A/3546/2012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On rappellera que dans le contexte de troubles somatoformes douloureux, les états dépressifs constituent, selon la doctrine médicale sur laquelle se fonde le Tribunal fédéral, des manifestations (réactives) d'accompagnement des troubles somatoformes douloureux, de sorte qu'ils ne sauraient en principe faire l'objet d'un diagnostic séparé, sauf à présenter les caractères de sévérité susceptibles de les distinguer sans conteste d'un tel trouble (ATF 130 V 352 consid. 3.3.1 in fine p. 358). Aussi, si on ne peut pas nier d'emblée qu'un trouble dépressif récurrent de gravité moyenne entraîne des effets invalidants, il faut, pour que ceux-ci soient admis, qu'il ne s'agisse pas d'une simple manifestation d'accompagnement des troubles somatoformes douloureux, mais bien d'une atteinte dépressive indépendante, séparée du syndrome douloureux psychogène (arrêts 9C_521/2012 du 17 janvier 2013 consid. 3.1.2 et les arrêts cités et I 176/06 consid. 5.2, in SVR 2008 IV n° 1 p. 1 ; ATF du 21 mai 2013 9C 901/2012).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w:t>
      </w:r>
    </w:p>
    <w:p>
      <w:r>
        <w:t>- 16/23-</w:t>
      </w:r>
    </w:p>
    <w:p>
      <w:r>
        <w:t>A/3546/2012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w:t>
      </w:r>
    </w:p>
    <w:p>
      <w:r>
        <w:t>- 17/23-</w:t>
      </w:r>
    </w:p>
    <w:p>
      <w:r>
        <w:t>A/3546/2012 complément d’une expertise (ATF 137 V 210 consid. 4.4.1.4 in fine et les références). En présence de syndromes sans pathologie ni étiologie claires et sans constat de déficit organique,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(ATF non publié 9C_953/2011 du 25 octobre 2012, consid. 5.3 et la référence).</w:t>
      </w:r>
    </w:p>
    <w:p>
      <w:r>
        <w:rPr>
          <w:b/>
        </w:rPr>
        <w:t>E. 9</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w:t>
      </w:r>
    </w:p>
    <w:p>
      <w:r>
        <w:t>- 18/23-</w:t>
      </w:r>
    </w:p>
    <w:p>
      <w:r>
        <w:t>A/3546/2012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10</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- 19/23-</w:t>
      </w:r>
    </w:p>
    <w:p>
      <w:r>
        <w:t>A/3546/2012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- 20/23-</w:t>
      </w:r>
    </w:p>
    <w:p>
      <w:r>
        <w:t>A/3546/2012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w:t>
      </w:r>
    </w:p>
    <w:p>
      <w:r>
        <w:rPr>
          <w:b/>
        </w:rPr>
        <w:t>E. 11</w:t>
      </w:r>
    </w:p>
    <w:p>
      <w:r>
        <w:t>En l’espèce, la chambre de céans a ordonné une expertise judiciaire auprès du Dr N_____, lequel a rendu son rapport le 19 mai 2014. Ce rapport remplit les exigences jurisprudentielles pour qu’il lui soit reconnu une pleine valeur probante, ce que les parties admettent. L’OAI conteste cependant la conclusion de l’expert quant à une capacité de travail restreinte à 50 % de la recourante au motif que l’application des critères issus de la jurisprudence du Tribunal fédéral en matière de trouble somatoforme douloureux ne permettent pas d’admettre une limitation de la capacité de travail. Préalablement, la chambre de céans constate que, contrairement à l’avis de l’intimé du 16 juin 2014, le rapport du SMR du 27 avril 2012 ne saurait emporter la conviction. En effet, la Dresse J_____ avait retenu que l’épisode dépressif moyen, sans syndrome somatique, était en rémission complète alors que l’expert explique que la recourante présente un état dépressif de gravité moyen, attesté depuis 2008 mais certainement déjà présent avant, persistant malgré le traitement et qui constitue une comorbidité psychiatrique, c’est-à-dire qu’il ne se limite pas au sentiment de détresse habituellement rencontré dans le syndrome douloureux somatoforme.</w:t>
      </w:r>
    </w:p>
    <w:p>
      <w:r>
        <w:t>- 21/23-</w:t>
      </w:r>
    </w:p>
    <w:p>
      <w:r>
        <w:t>A/3546/2012 Ensuite, il est à constater que l’expert conclut à une capacité de travail de 50 % de la recourante depuis 2008 compte tenu de l’effort requis pour surmonter les douleurs chroniques et du fait que les ressources psychiques sont amoindries par la dépression. Le tableau clinique présenté par la recourante est caractérisé par la présence de douleurs lombaires associées à une symptomatologie dépressive. Il n’est pas contesté que les douleurs ne trouvent pas leur origine dans une affection somatique susceptible d’expliquer à elle seule, l’importance de l’incapacité de travail et de gain. En effet, la recourante n’a pas remis en cause les constatations rhumatologiques du SMR (Dr I_____ du 27 avril 2012) selon lesquelles il existait des dorso-lombalgies dans le cadre de troubles statiques du rachis modérés et troubles dégénératifs du rachis discrets, sans répercussion sur la capacité de travail ; par ailleurs, le Dr D_____ avait considéré que les douleurs lombaires étaient majorées par des troubles psychiques (avis des 6 novembre 2008 et 20 février 2012). Dès lors, la question qu’il convient d’examiner est celle de savoir si la recourante souffre d’une atteinte à la santé psychique invalidante ou d’un syndrome douloureux dont les effets ne pourraient plus être surmontés par un effort de volonté raisonnablement exigible. Selon la jurisprudence du Tribunal fédéral, un syndrome somatoforme douloureux et un état dépressif moyen peuvent, lorsque celui-ci est considéré comme une comorbidité indépendante du premier, être invalidant si l’état dépressif entraîne, en lui-même, une incapacité de travail (ATF précité du 21 mai 2013). Or, en l’espèce, l’état dépressif moyen reconnu par l’expert n’entraîne, selon les constatations de celui-ci, qu’une baisse de rendement dans une activité exigeant un effort soutenu de concentration mais ne limite pas la recourante dans une activité peu exigeante sur ce plan ; certes l’expert considère que les ressources psychiques sont amoindries par la dépression ; cependant, cette limitation ne saurait, au vu de la jurisprudence du Tribunal fédéral précitée, permettre de considérer que la comorbidité psychiatrique entraîne, en elle-même, une incapacité de travail de 50 % (à cet égard cf. ATF du 15 mai 2014 9C 120/2014). En conséquence, on ne saurait retenir que l’état dépressif moyen constitue une comorbidité psychiatrique incapacitante à hauteur de 50 %. Par ailleurs, l’expert exclut la réalisation des autres critères jurisprudentiels qui permettent, en l’absence d’une comorbidité psychiatrique pertinente, de reconnaître qu’un trouble somatoforme douloureux est invalidant ; il explique qu’il n’y a pas d’affections corporelles chroniques, de processus maladif s’étendant sur plusieurs années, d’état psychique cristallisé, de perte d’intégration sociale et laisse la question ouverte de l’échec des traitements. Ce tableau ne permet pas non plus de</w:t>
      </w:r>
    </w:p>
    <w:p>
      <w:r>
        <w:t>- 22/23-</w:t>
      </w:r>
    </w:p>
    <w:p>
      <w:r>
        <w:t>A/3546/2012 considérer que le trouble somatoforme douloureux est incapacitant à hauteur de 50 %. En conséquence, en application de la jurisprudence du Tribunal fédéral sur les troubles somatoformes douloureux, on ne saurait suivre, en l’espèce, la conclusion de l’expert quant à une capacité de travail de la recourante réduite à 50 %. Enfin, il sera, par appréciation anticipée des preuves (ATF 131 I 153), renoncé à l’audition de l’expert, requise par la recourante dès lors que celui-ci a clairement répondu aux questions de la mission qui lui était dévolue et que la chambre de céans dispose ainsi de suffisamment d’éléments au dossier pour se prononcer en connaissance de cause sur le droit de la recourante à des prestations d’invalidité.</w:t>
      </w:r>
    </w:p>
    <w:p>
      <w:r>
        <w:rPr>
          <w:b/>
        </w:rPr>
        <w:t>E. 12</w:t>
      </w:r>
    </w:p>
    <w:p>
      <w:r>
        <w:t>Partant, le refus de toute prestation de l’intimé ne peut qu’être confirmée et le recours rejeté. La procédure n'étant pas gratuite (art. 69 al. 1bis LAI), il y a lieu de condamner la recourante au paiement d'un émolument de CHF 200.-.</w:t>
      </w:r>
    </w:p>
    <w:p>
      <w:r>
        <w:t>- 23/23-</w:t>
      </w:r>
    </w:p>
    <w:p>
      <w:r>
        <w:t>A/3546/2012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