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ATAS/955/2023 vom 8. Dezember 2023</w:t>
      </w:r>
    </w:p>
    <w:p>
      <w:r>
        <w:t>GE Cour de justice, 2023-12-08, FR</w:t>
      </w:r>
    </w:p>
    <w:p>
      <w:r>
        <w:rPr>
          <w:b/>
        </w:rPr>
        <w:t xml:space="preserve">Quelle: </w:t>
      </w:r>
      <w:r>
        <w:t>https://mcp.opencaselaw.ch/entscheid/ge_gerichte_ATAS_955_2023</w:t>
      </w:r>
    </w:p>
    <w:p>
      <w:r>
        <w:t>FR: GE_GERICHTE ATAS/955/2023 du 8 décembre 2023</w:t>
      </w:r>
    </w:p>
    <w:p>
      <w:r>
        <w:t>IT: GE_GERICHTE ATAS/955/2023 del 8 dicembre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A/652/2023 - 5/11 -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art. 62 al. 1 de la loi sur la procédure administrative du 12 septembre 1985 [LPA - E 5 10]). Interjeté dans la forme et le délai prévus par la loi, le recours est recevable.</w:t>
      </w:r>
    </w:p>
    <w:p>
      <w:r>
        <w:rPr>
          <w:b/>
        </w:rPr>
        <w:t>E. 2</w:t>
      </w:r>
    </w:p>
    <w:p>
      <w:r>
        <w:t>Il convient en premier lieu de déterminer le droit applicable.</w:t>
      </w:r>
    </w:p>
    <w:p>
      <w:r>
        <w:rPr>
          <w:b/>
        </w:rPr>
        <w:t>E. 2.1</w:t>
      </w:r>
    </w:p>
    <w:p>
      <w:r>
        <w:t>Le 1er janvier 2022, sont entrées en vigueur les modifications de la LAI du 19 juin 2020 (développement continu de l’AI ; RO 2021 705) ainsi que celles du</w:t>
      </w:r>
    </w:p>
    <w:p>
      <w:r>
        <w:rPr>
          <w:b/>
        </w:rPr>
        <w:t>E. 2.2</w:t>
      </w:r>
    </w:p>
    <w:p>
      <w:r>
        <w:t>En l’occurrence, la décision querellée concerne un premier octroi de rente pour une incapacité de travail durable ayant débuté en juillet 2020. La demande de prestations a par ailleurs été formée le 20 janvier 2021. Les dispositions légales applicables seront citées dans leur ancienne teneur.</w:t>
      </w:r>
    </w:p>
    <w:p>
      <w:r>
        <w:rPr>
          <w:b/>
        </w:rPr>
        <w:t>E. 3</w:t>
      </w:r>
    </w:p>
    <w:p>
      <w:r>
        <w:t>Le litige porte sur le bien-fondé du refus de l’OAI d’accorder des prestations à l’assuré.</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w:t>
      </w:r>
    </w:p>
    <w:p>
      <w:r>
        <w:t>A/652/2023 - 6/11 -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3.2</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L'évaluation de l'invalidité s'effectue à l'aune d'un marché équilibré du travail. Cette notion, théorique et abstraite, sert de critère de distinction entre les cas tombant sous le coup de l'assurance-chômage et ceux qui relèvent de l'assurance- accidents. Elle présuppose un équilibre entre l'offre et la demande de main d'oeuvre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Lorsque le dernier salaire obtenu par l'assuré avant la survenance de l'invalidité est nettement plus élevé que les revenus obtenus jusqu'alors, il ne peut servir de référence pour le revenu sans invalidité que s'il est établi, selon la vraisemblance</w:t>
      </w:r>
    </w:p>
    <w:p>
      <w:r>
        <w:t>A/652/2023 - 7/11 - prépondérante, que l'assuré aurait continué à réaliser un tel salaire (arrêt 9C_5/2009 du 16 juillet 2009 consid. 2.3, in SVR 2009 IV n° 58 p. 181).</w:t>
      </w:r>
    </w:p>
    <w:p>
      <w:r>
        <w:rPr>
          <w:b/>
        </w:rPr>
        <w:t>E. 3.3</w:t>
      </w:r>
    </w:p>
    <w:p>
      <w:r>
        <w:t>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Concrètement, selon cette méthode, il faut tout d’abord effectuer une comparaison des champs d’activités. Il convient d’établir quelles sont les activités que l’assuré pourrait exercer avec et sans atteinte à la santé, et dans quel laps de temps il</w:t>
      </w:r>
    </w:p>
    <w:p>
      <w:r>
        <w:t>A/652/2023 - 8/11 - pourrait les accomplir. Il y a également toujours lieu d’examiner dans quelle mesure il lui serait possible de réduire sa perte de gain, en substituant à certaines des tâches qu’il accomplissait auparavant d’autres tâches, mieux adaptées au handicap dont il souffre. Ensuite, il s’agira de pondérer les activités en appliquant à chaque activité le salaire de référence usuel dans la branche. On peut ainsi déterminer le revenu sans invalidité et le revenu d’invalide et effectuer une comparaison des revenus (Circulaire sur l’invalidité et l’impotence dans l’assurance-invalidité [CIIAI] publiée par l’Office fédéral des assurances sociales dans sa version valable à partir du 1er janvier 2015, ch. 3104-3105). Un rapport d’enquête pour activité professionnelle indépendante constitue en principe un moyen de preuve approprié pour évaluer le degré d'invalidité des personnes dont on ne peut déterminer sûrement les revenus (arrêt du Tribunal fédéral 9C_622/2015 du 9 mars 2016 consid. 6 et les références citées).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 ; arrêt du Tribunal fédéral I.733/06 du 16 juillet 2007).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A/652/2023 - 9/11 -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w:t>
      </w:r>
    </w:p>
    <w:p>
      <w:r>
        <w:t>En l’espèce, il ressort de la décision entreprise et des explications de la représentante de l’OAI lors de l’audience de comparution personnelle du 24 novembre 2023 que l’intimé a reconnu une incapacité de travail entière dans l’activité habituelle du recourant dès le 15 juin 2020 (début du délai d’attente d’un an), puis de 50% dès le mois de novembre 2020. Dans une activité adaptée à son état de santé, sa capacité de travail était entière depuis le mois de novembre 2020. Le degré d’invalidité du recourant a été déterminé au moyen de la méthode extraordinaire. L’enquêtrice avait en effet considéré que les données comptables des entreprises du recourant ne constituaient pas une base valable pour évaluer son incapacité de gain, car de très nombreux facteurs étrangers à l’invalidité avaient influé sur les revenus de l’assuré. Elle a notamment constaté que le chiffre d’affaires de la société s’était amélioré durant les exercices qui avaient suivi le début de son incapacité de travail. Les bénéfices ne relevaient aucun effet négatif dû à l’atteinte à sa santé. Le recourant ne conteste pas l’application de la méthode extraordinaire de l’invalidité. Il ne conteste pas non plus spécifiquement l’étendue d’empêchement entraîné par son atteinte à la santé dans chacun des deux champs d’activité (fixée par l’intimé à 0% pour les travaux de direction/administration et à 0% pour les travaux de technicien de chantier), ni la pondération des deux différents champs d’activité. Il fait uniquement valoir que ses douleurs ont entrainé une baisse de rendement dans son activité au sein de l’entreprise, puisqu’il travaillait globalement moins et devait prendre des pauses. En l’occurrence, le rapport d’enquête économique du 5 décembre 2022 a été élaboré sur la base d’une analyse approfondie de l’entreprise et du rôle du recourant au sein de cette dernière ainsi qu’en connaissance des diagnostics médicaux, des limitations fonctionnelles et de la capacité de travail retenues par le SMR. Il tient compte des indications données par le recourant et ses conclusions sont motivées. Il ressort de ce rapport, en particulier de la description des activités de technicien de chantier et de directeur des travaux administratifs, que les différentes tâches exercées par le recourant respectaient ses limitations fonctionnelles. Dans le cadre de son activité de technicien de chantier, le recourant s’occupait surtout du suivi et de la direction des travaux. Or, de telles tâches ne nécessitent aucun port de charges, ni travail répété en porte-à-faux ou en élévation en direction des épaules.</w:t>
      </w:r>
    </w:p>
    <w:p>
      <w:r>
        <w:t>A/652/2023 - 10/11 - Il en va de même du travail administratif que le recourant exerçait à 50%. L’intéressé l’a d’ailleurs expressément admis en audience devant la chambre de céans. Questionné à ce sujet, il a confirmé l’exactitude des descriptions de l’enquêtrice, précisant qu’il était capable d’exercer l’intégralité des tâches décrites dans le rapport. Il a certes mentionné qu’il nécessitait plus de pauses en raison des douleurs. Il n’en reste pas moins que, comme l’a retenu l’OAI, il n’a subi, en raison de son état de santé, aucun empêchement particulier dans le cadre de ses activités habituelles au sein de l’entreprise, celles-ci étant adaptées à ses limitations fonctionnelles. Quant à ces dernières, le recourant ne les conteste pas spécifiquement, ni n’a produit de pièces médicales attestant de limitations fonctionnelles supplémentaires. Dans ces conditions, les empêchements de 0% retenus par l’enquêtrice dans les activités de technicien de chantier et directeur des travaux ne prêtent pas le flanc à la critique. C’est partant à bon droit que l’intimé a considéré que le recourant ne subissait aucun préjudice économique, de sorte qu’il n’avait pas droit à des prestations.</w:t>
      </w:r>
    </w:p>
    <w:p>
      <w:r>
        <w:rPr>
          <w:b/>
        </w:rPr>
        <w:t>E. 5</w:t>
      </w:r>
    </w:p>
    <w:p>
      <w:r>
        <w:t>Mal fondé, le recours est rejeté. La procédure de recours en matière de contestation portant sur l'octroi ou le refus de prestations de l'assurance-invalidité étant soumise à des frais de justice, le recourant sera condamné au paiement d'un émolument, arrêté à CHF 200.- (art. 69 al. 1bis LAI). Vu l'issue de la procédure, il n'y a pas matière à allocation d'une indemnité (art. 61 let. g LPGA).</w:t>
      </w:r>
    </w:p>
    <w:p>
      <w:r>
        <w:t>A/652/2023 - 11/11 -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