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ATAS/955/2019 vom 17. Oktober 2017</w:t>
      </w:r>
    </w:p>
    <w:p>
      <w:r>
        <w:t>GE Cour de justice, 2017-10-17, FR</w:t>
      </w:r>
    </w:p>
    <w:p>
      <w:r>
        <w:rPr>
          <w:b/>
        </w:rPr>
        <w:t xml:space="preserve">Quelle: </w:t>
      </w:r>
      <w:r>
        <w:t>https://mcp.opencaselaw.ch/entscheid/ge_gerichte_ATAS_955_2019</w:t>
      </w:r>
    </w:p>
    <w:p>
      <w:r>
        <w:t>FR: GE_GERICHTE ATAS/955/2019 du 17 octobre 2017</w:t>
      </w:r>
    </w:p>
    <w:p>
      <w:r>
        <w:t>IT: GE_GERICHTE ATAS/955/2019 del 17 ottobre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A teneur de l'art. 30 al. 3 LACI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OACI, la suspension est de 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(DTA 1989 p. 88 consid. 4c p. 93 ; Boris RUBIN, op. cit., p. 325). b.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Le Bulletin LACI/IC - marché du travail / assurance-chômage du SECO, janvier 2019, prévoit une suspension de l'indemnité de 3 à 4 jours en cas de recherche insuffisante d'emploi, durant la période de contrôle, pour la première fois, de 5 à</w:t>
      </w:r>
    </w:p>
    <w:p>
      <w:r>
        <w:rPr>
          <w:b/>
        </w:rPr>
        <w:t>E. 9</w:t>
      </w:r>
    </w:p>
    <w:p>
      <w:r>
        <w:t>En l'espèce, il n'est pas contesté que la recourante a remis, le 5 février 2019, un formulaire comportant neuf recherches d'emploi effectuées en janvier 2019 en lieu et place des dix recherches convenues dans le plan d'action du 4 avril 2018. La recourante allègue avoir effectué une dixième recherche mais avoir oublié de la mentionner sur le formulaire ad hoc. A cet égard, il sied de relever qu'elle ne se prévaut de cette recherche qu'au stade de son opposition, soit seize jours après l'échéance du délai et qu'elle ne l'a pas spontanément communiquée à sa conseillère ORP lors de son entretien du 11 février 2019, ni immédiatement après, en dépit des mises en garde de cette dernière quant à l'insuffisance de ses recherches d'emploi pour janvier 2019. Cette dixième recherche doit donc être considérée comme tardive et ne peut être prise en compte (art. 26 al. 2 OACI). C’est en outre à juste titre que l’intimé relève que la seule mention d'un appel téléphonique à une amie – dont ni le nom, ni les coordonnées ne sont mentionnées - travaillant dans une banque et en arrêt de travail ne saurait être considérée comme une recherche suffisante d'un point de vue qualitatif. Dès lors, il convient de relever que le nombre recherches effectuées par la recourante en janvier 2019 est insuffisant.</w:t>
      </w:r>
    </w:p>
    <w:p>
      <w:r>
        <w:rPr>
          <w:b/>
        </w:rPr>
        <w:t>E. 10</w:t>
      </w:r>
    </w:p>
    <w:p>
      <w:r>
        <w:t>Au vu des circonstances et du fait qu’il s’agit du second manquement reproché à l’intéressée, la sanction de six jours appliquée correspond au barème du SECO et respecte le principe de la proportionnalité. Il est rappelé à cet égard que la situation personnelle de la recourante, n'est pas prise en compte pour fixer la quotité de la faute, soit le nombre de jours de suspension. Partant, le recours est rejeté. Pour le surplus, la procédure est gratuite (art. 61 let. a LPGA).</w:t>
      </w:r>
    </w:p>
    <w:p>
      <w:r>
        <w:t>A/2120/2019 - 7/7 -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