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ATAS/955/2018 vom 16. Oktober 2018</w:t>
      </w:r>
    </w:p>
    <w:p>
      <w:r>
        <w:t>GE Cour de justice, 2018-10-16, FR</w:t>
      </w:r>
    </w:p>
    <w:p>
      <w:r>
        <w:rPr>
          <w:b/>
        </w:rPr>
        <w:t xml:space="preserve">Quelle: </w:t>
      </w:r>
      <w:r>
        <w:t>https://mcp.opencaselaw.ch/entscheid/ge_gerichte_ATAS_955_2018</w:t>
      </w:r>
    </w:p>
    <w:p>
      <w:r>
        <w:t>FR: GE_GERICHTE ATAS/955/2018 du 16 octobre 2018</w:t>
      </w:r>
    </w:p>
    <w:p>
      <w:r>
        <w:t>IT: GE_GERICHTE ATAS/955/2018 del 16 ottobre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En l’espèce, l’assuré a déposé le 3 mai 2018 un recours pour déni de justice à l’encontre de la caisse.</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t>A/1495/2018 - 6/9 -</w:t>
      </w:r>
    </w:p>
    <w:p>
      <w:r>
        <w:rPr>
          <w:b/>
        </w:rPr>
        <w:t>E. 4</w:t>
      </w:r>
    </w:p>
    <w:p>
      <w:r>
        <w:t>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t>A/1495/2018 - 7/9 - Le Tribunal cantonal des assurances sociales, alors compétent, a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L’autorité saisie d’un recours pour retard injustifié ne peut ainsi qu’inviter l’autorité concernée à statuer à bref délai (ATFA U 23/05 du 27 mars 2006). Elle ne saurait se substituer à l'autorité précédente pour statuer au fond.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est saisie d'un recours pour retard injustifié. Elle ne peut qu'inviter l'autorité concernée à statuer à bref délai (ATF 130 V 90).</w:t>
      </w:r>
    </w:p>
    <w:p>
      <w:r>
        <w:rPr>
          <w:b/>
        </w:rPr>
        <w:t>E. 5</w:t>
      </w:r>
    </w:p>
    <w:p>
      <w:r>
        <w:t>En l’espèce, l’assuré se plaint de recevoir de la caisse des décomptes relatifs à ses cotisations qu’il ne comprend pas. Il constate que l’OFAS a également relevé le caractère incompréhensible de ces décomptes, et que la caisse, elle-même, a admis qu’il lui était difficile de présenter « un extrait de décompte facilement compréhensible », au point qu’elle a tenté de faire annuler l’audience, alléguant que « le recours de l’assuré concerne uniquement des questions "techniques" de comptabilité et des possibilités de présenter, avec les programmes informatiques donnés, les décomptes. Le recours et la réplique montrent que ni la Caisse AVS ni l’Office fédéral des assurances sociales n’ont réussi à expliquer les décomptes d’une manière compréhensible au client cependant, en aucun cas il s’agit d’un "déni de justice" ».</w:t>
      </w:r>
    </w:p>
    <w:p>
      <w:r>
        <w:rPr>
          <w:b/>
        </w:rPr>
        <w:t>E. 6</w:t>
      </w:r>
    </w:p>
    <w:p>
      <w:r>
        <w:t>La caisse reproche à la chambre de céans d’avoir été convoquée à une audience avant la clôture de l’échange d’écritures. La chambre de céans s’en étonne. En effet, un délai avait été imparti à la caisse pour dupliquer le 21 juin 2018. Celle-ci ne l’a toutefois pas utilisé.</w:t>
      </w:r>
    </w:p>
    <w:p>
      <w:r>
        <w:t>A/1495/2018 - 8/9 - La caisse a également demandé, à deux reprises, l’annulation de l’audience fixée au 2 octobre 2018. Il y a à cet égard lieu de rappeler que selon l’art. 61 let. c LPGA, « Sous réserve de l'art. 1 al. 3 de la loi fédérale du 20 décembre 1968 sur la procédure administrative1, la procédure devant le tribunal cantonal des assurances est réglée par le droit cantonal. Elle doit satisfaire aux exigences suivantes : le tribunal établit avec la collaboration des parties les faits déterminants pour la solution du litige; il administre les preuves nécessaires et les apprécie librement ».</w:t>
      </w:r>
    </w:p>
    <w:p>
      <w:r>
        <w:rPr>
          <w:b/>
        </w:rPr>
        <w:t>E. 7</w:t>
      </w:r>
    </w:p>
    <w:p>
      <w:r>
        <w:t>Force est de constater qu’aucun décompte au sens où l’entend l’assuré, n’a été rendu pour 2016, 2017 et jusqu’à avril 2018, que les parties ne sont d’accord ni sur les montants dus, ni sur les montants versés à la caisse et qu’enfin, l’assuré conteste les chiffres obtenus par l’OFAS sur la base de l’extrait de compte à lui transmis par la caisse. Le recours pour déni de justice est en conséquence admis et la caisse invitée à faire diligence et à établir, par décision sujette à recours, sur la base des décisions de cotisations entrées en force 2016 et 2017, un décompte des cotisations personnelles AVS-AI dues par l’assuré, déduction faite des montants déjà versés.</w:t>
      </w:r>
    </w:p>
    <w:p>
      <w:r>
        <w:t>A/1495/2018 - 9/9 -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