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ATAS/955/2016 vom 21. November 2016</w:t>
      </w:r>
    </w:p>
    <w:p>
      <w:r>
        <w:t>GE Cour de justice, 2016-11-21, FR</w:t>
      </w:r>
    </w:p>
    <w:p>
      <w:r>
        <w:rPr>
          <w:b/>
        </w:rPr>
        <w:t xml:space="preserve">Quelle: </w:t>
      </w:r>
      <w:r>
        <w:t>https://mcp.opencaselaw.ch/entscheid/ge_gerichte_ATAS_955_2016</w:t>
      </w:r>
    </w:p>
    <w:p>
      <w:r>
        <w:t>FR: GE_GERICHTE ATAS/955/2016 du 21 novembre 2016</w:t>
      </w:r>
    </w:p>
    <w:p>
      <w:r>
        <w:t>IT: GE_GERICHTE ATAS/955/2016 del 21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18 août 2015 est postérieure à l’entrée en vigueur des modifications de la LAI suscitées. Par conséquent, du point de vue matériel, le droit éventuel à des prestations d’invalidité doit être examiné au regard des modifications de la LAI consécutives aux 4ème, 5ème 6ème révisions de cette loi,</w:t>
      </w:r>
    </w:p>
    <w:p>
      <w:r>
        <w:t>A/3252/2015 - 14/25 -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trente jours (art. 60 al. 1 LPGA). Interjeté dans les forme et délai prescrits par la loi, le recours est recevable (art. 56ss LPGA ; art. 89B de la loi sur la procédure administrative du 12 septembre 1985 [LPA; RSG E 5 10]).</w:t>
      </w:r>
    </w:p>
    <w:p>
      <w:r>
        <w:rPr>
          <w:b/>
        </w:rPr>
        <w:t>E. 5</w:t>
      </w:r>
    </w:p>
    <w:p>
      <w:r>
        <w:t>Le litige porte sur le droit de la recourante à l’obtention d’une rente d’invalidité et sur le bien-fondé de l’interruption des mesures d’ordre professionnel.</w:t>
      </w:r>
    </w:p>
    <w:p>
      <w:r>
        <w:rPr>
          <w:b/>
        </w:rPr>
        <w:t>E. 6</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A/3252/2015 - 15/25 -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A/3252/2015 - 16/25 -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sur la base du rapport d’expertise pluridisciplinaire de la CRR, l’intimé a retenu que la capacité de travail médicalement exigible de la recourante était de 100%, avec une diminution de rendement de 20%, dans une activité adaptée telle que celle d’employée de commerce ou d’employée administrative.</w:t>
      </w:r>
    </w:p>
    <w:p>
      <w:r>
        <w:rPr>
          <w:b/>
        </w:rPr>
        <w:t>E. 10</w:t>
      </w:r>
    </w:p>
    <w:p>
      <w:r>
        <w:t>Il convient dès lors de se déterminer en premier lieu sur la valeur probante de l’expertise du 12 février 2013.</w:t>
      </w:r>
    </w:p>
    <w:p>
      <w:r>
        <w:rPr>
          <w:b/>
        </w:rPr>
        <w:t>E. 11</w:t>
      </w:r>
    </w:p>
    <w:p>
      <w:r>
        <w:t>a. La chambre de céans observe tout d’abord que ce document est basé sur une anamnèse et une analyse complètes du dossier de l’intimé. L’état de santé de la recourante a fait l’objet d’examens approfondis, ses plaintes ont été prises en compte et les spécialistes en médecine interne, rhumatologie et psychiatrie, ont procédé à une discussion et à une appréciation du cas détaillées. Ils se sont prononcés sur la capacité de travail de la recourante dans une activité adaptée et ont clairement défini ses limitations fonctionnelles. b. S’agissant en particulier des atteintes présentées par la recourante, la chambre de céans relèvera que les diagnostics retenus par les experts ne sont ni contestés ni contestables, dès lors qu’ils correspondent à ceux posés par l’ensemble du corps médical (cf. notamment rapports du Dr C______ des 17 septembre 2004, 21 mars 2006 et 22 mars 2011, rapport du Dr G______ du 23 janvier 2012, rapport de la Dresse L______ du 8 janvier 2015). c. En ce qui concerne les limitations fonctionnelles et l’évaluation de la capacité de travail, les experts ont exposé que les symptômes de la recourante s’expliquaient par un syndrome radiculaire L5 séquellaire et une probable irritation de la racine S1 dans le contexte cicatriciel et au contact de la prothèse discale. Cette atteinte justifiait une incapacité totale de travail depuis le 17 novembre 2003, dans toute activité contraignante pour le rachis. En revanche, dans une activité permettant l’alternance des positions, sans port de charges de plus de 5 kg ni travaux en flexion et en rotation du tronc, la capacité de travail avait toujours été entière, avec une diminution de rendement de 20% pour tenir compte des restrictions. Les experts ont précisé en juillet 2016 que cette réduction de rendement comprenait également les limitations énoncées par le Dr C______ (cf. rapport du 17 septembre 2004), dont le travail en hauteur, les positions à genoux ou encore des déplacements sur un sol irrégulier ou en pente, étant observé que de telles contraintes étaient peu usuelles dans le métier d’employée de commerce. Ils ont confirmé que cette activité, comme celle d’employée administrative, était adaptée. Quant à la mise à disposition d’un siège adapté (cf. à ce sujet les rapports du Dr C______ des 18 septembre 2001 et</w:t>
      </w:r>
    </w:p>
    <w:p>
      <w:r>
        <w:t>A/3252/2015 - 17/25 - 17 septembre 2004, rapports du CIP des 19 février et 22 mai 2007, note d’entretien de l’intimé du 19 juin 2008), ils ont indiqué à la chambre de céans que ce moyen auxiliaire apparaissait très secondaire pour la mise en valeur de la capacité de travail, mais devrait être favorisé s’il permettait d’améliorer le rendement ou de diminuer les douleurs. Il appert donc que l’appréciation des experts de la CRR est similaire à celle du Dr C______, lequel a estimé que la capacité de travail de la recourante était entière dans une activité adaptée, tel qu’un métier d’accueil, de secrétariat ou dans l’horlogerie (cf. rapports des 17 septembre 2004 et 28 septembre 2006), si ce n’est que les experts ont retenu une diminution de rendement. Les conclusions des experts et du Dr C______ sont en outre corroborées par les observations effectuées lors des stages. En effet, au terme de l’orientation professionnelle réalisée du 30 octobre 2006 au 4 février 2007, les capacités physiques de la recourante ont été jugées compatibles avec des activités légères en position principalement assise, avec un siège orthopédique, et ce à temps complet dans l’économie libre (cf. rapport du CIP du 19 février 2007). De même, le stage en entreprise réalisé du 5 février au 6 mai 2007, à raison de 40 heures par semaine, a permis de valider l’orientation professionnelle choisie, soit l’activité d’employée de commerce (cf. rapport du CIP du 23 mai 2007). La recourante avait d’ailleurs elle- même considéré que cette activité qui se déroulait à 80% en position assise et à 20% en position debout, avec la possibilité d’alterner les positions à sa convenance, était adaptée à son état de santé (cf. rapport du CIP du 22 mai 2007). Il est encore rappelé à ce propos que lors de ces deux premières mesures d’ordre professionnel, la recourante a été absente seulement pendant cinq jours, dont un seul pour cause de maladie (cf. rapports du CIP des 19 février et 22 mai 2007). En outre, à l’issue de la première année d’apprentissage, le bilan était positif, bien qu’une chaise orthopédique devait être mise en place. Ce n’est qu’en juin 2011, soit près d’une année après qu’elle aurait dû achever son CFC et alors que son contrat avait été résilié seize mois auparavant, que la recourante a soutenu que la HES n’avait pas tenu compte de son état de santé et que l’apprentissage n’était pas adapté à ses problèmes de dos (cf. courrier du 27 juin 2011). Elle a toutefois expliqué par la suite à sa conseillère qu’elle avait échoué aux examens en raison de la comptabilité, sans déplorer une inadéquation de l’activité (cf. note relative à l’entretien du 17 août 2011) et déclaré lors de son audition par-devant la chambre de céans qu’elle était restée parfois plus de huit heures d’affilée assise car il lui tenait à cœur de bien faire son travail. Elle n’a en particulier pas allégué que son employeur ne l’avait pas autorisée à alterner les positions ni que l’activité déployée ne le permettait pas. Les griefs formulés par la recourante dans sa missive du 27 juin 2011 ne permettent donc pas de retenir, au degré de la vraisemblance prépondérante requis, que l’apprentissage d’employée de commerce ne serait pas adapté à son état de santé. En définitive, seule la Dresse L______ considère que ne peut être envisagée qu’une activité professionnelle « vraiment adaptée, et à temps très partiel uniquement (par</w:t>
      </w:r>
    </w:p>
    <w:p>
      <w:r>
        <w:t>A/3252/2015 - 18/25 - exemple au maximum 1h-1h30, 3x/semaine) ». La médecin-traitante ne livre toutefois aucune explication qui justifierait de s’écarter des conclusions de l’expertise du 12 février 2013 et ne fait pas état d’éléments qui auraient été ignorés par les experts. Au contraire, elle a relevé que le status physique était superposable à celui de 2001 (hormis l’hyperréflexie qui n’était pas décrite). Son appréciation semble uniquement fondée sur les déclarations de la recourante, comme en témoigne le fait que la Dresse L______ a noté que sa patiente ne pouvait pas porter son fils, sans relever que ceci n’avait rien d’exceptionnel, l’enfant étant alors âgé de presque 10 ans. Faute de toute motivation et en l’absence d’indice concret permettant de douter du bien-fondé des conclusions des experts de la CRR, lesquelles sont de surcroît similaires à celles du précédent médecin-traitant et à celles de plusieurs observateurs, l’appréciation divergente de la médecin-traitante ne saurait être suivie. Eu égard à tout ce qui précède, la chambre de céans fera siennes les conclusions, cohérentes et dûment motivées, du rapport de la CRR du 12 février 2013, auquel elle attribue une pleine valeur probante.</w:t>
      </w:r>
    </w:p>
    <w:p>
      <w:r>
        <w:rPr>
          <w:b/>
        </w:rPr>
        <w:t>E. 12</w:t>
      </w:r>
    </w:p>
    <w:p>
      <w:r>
        <w:t>C’est donc à juste titre que l’intimé a retenu que la recourante dispose, depuis le mois de novembre 2003, d’une capacité de travail entière, avec une diminution de rendement de 20%, dans une activité respectant les limitations fonctionnelles décrites par les experts.</w:t>
      </w:r>
    </w:p>
    <w:p>
      <w:r>
        <w:rPr>
          <w:b/>
        </w:rPr>
        <w:t>E. 13</w:t>
      </w:r>
    </w:p>
    <w:p>
      <w:r>
        <w:t>Il convient à présent de fixer le degré d’invalidité de la recourante.</w:t>
      </w:r>
    </w:p>
    <w:p>
      <w:r>
        <w:rPr>
          <w:b/>
        </w:rPr>
        <w:t>E. 14</w:t>
      </w:r>
    </w:p>
    <w:p>
      <w:r>
        <w:t>a.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L’assurance-invalidité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(Circulaire sur l’invalidité et l’impotence dans l’assurance-invalidité, publiée par l’Office fédéral des assurances sociales [ci-après l’OFAS], valable à partir du 1er janvier 2015 [ci-après CIIAI] ch. 1045 et les références). Ce principe selon lequel «la réadaptation prime la rente» a pour effet que la rente ne doit en principe entrer en ligne de compte qu’à la suite d’une mesure de</w:t>
      </w:r>
    </w:p>
    <w:p>
      <w:r>
        <w:t>A/3252/2015 - 19/25 - réadaptation, voire à la suite de l’indemnité journalière correspondante (CIIAI ch. 9001). Le droit à une rente ne peut en principe prendre naissance qu’à l’issue des mesures de réadaptation. Avant ce moment, une rente ne peut être attribuée, le cas échéant avec effet rétroactif, que si l’assuré n’est pas (encore) susceptible de réadaptation ou si des mesures d’instruction visant à mesurer la capacité de réadaptation sont effectuées et que leur résultat démontre que la réadaptation n’est pas possible (CIIAI ch. 9002 et les références).</w:t>
      </w:r>
    </w:p>
    <w:p>
      <w:r>
        <w:rPr>
          <w:b/>
        </w:rPr>
        <w:t>E. 15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16</w:t>
      </w:r>
    </w:p>
    <w:p>
      <w:r>
        <w:t>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On ne saurait s’écarter d’un tel revenu pour le seul motif que l’assuré disposait, avant la survenance de son invalidité, de meilleures possibilités de gain que celles qu’il mettait en valeur et qui lui permettaient d’obtenir un revenu modeste (ATF 125 V 146 consid. 5c/bb et les arrêts cités) ; il convient toutefois de renoncer à s’y référer lorsqu’il ressort de l’ensemble des circonstances du cas que l’assuré, sans invalidité, ne se serait pas contenté d’une telle rémunération de manière durable (cf. AJP 2002 1487; RCC 1992 p. 96 consid. 4a). b. L’art. 26 du règlement du 17 janvier 1961 sur l’assurance-invalidité du</w:t>
      </w:r>
    </w:p>
    <w:p>
      <w:r>
        <w:rPr>
          <w:b/>
        </w:rPr>
        <w:t>E. 17</w:t>
      </w:r>
    </w:p>
    <w:p>
      <w:r>
        <w:t>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A/3252/2015 - 21/25 -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18</w:t>
      </w:r>
    </w:p>
    <w:p>
      <w:r>
        <w:t>a. En l’espèce, dans la mesure où la recourante a déposé sa demande de prestations au mois d’août 2004, mais qu’elle a bénéficié de mesures d’ordre professionnel jusqu’en novembre 2013, lorsqu’elle a refusé de participer à l’aide au placement octroyée par l’intimé, c’est à juste titre que ce dernier a fixé le début du droit à la rente à novembre 2013. b. L’intimé a déterminé le revenu sans invalidité selon l’article 26 RAI, considérant que l’atteinte à la santé dont souffre la recourante l’a empêchée d’acquérir des connaissances professionnelles suffisantes. Ce point n’est pas litigieux et n’apparaît pas critiquable, dès lors que la recourante a interrompu ses études à l’école de commerce au cours de l’année scolaire durant laquelle elle a subi trois interventions (les 10 et 11 octobre 2000 et le 23 avril 2001). Elle n’a donc pas achevé de formation professionnelle et a exercé divers métiers inadaptés à ses problèmes de santé (nettoyeuse, surveillante de magasin, vendeuse) jusqu’au 17 novembre 2003. Il est impossible de déterminer quelle formation, et par conséquent quel revenu, la recourante aurait réalisé en l’absence du spondylolisthésis de L5-S1 de grade I-II opéré en 2000. En novembre 2013, la recourante était âgée de 30 ans. C’est donc à bon droit que l’intimé a pris en considération le 100% de CHF 77’000.- conformément aux directives d’application de l’art. 26 RAI. c. Concernant le revenu avec invalidité, le calcul de l’intimé ne prête pas le flanc à la critique non plus. En effet, il a pris comme référence le salaire auquel peuvent prétendre les femmes effectuant des activités simples et répétitives de secrétariat ou de chancellerie (ligne 22, niveau de qualification 4), dans le secteur privé et public, à savoir CHF 65’088.- par année (CHF 5’424.-. x 12 ; ESS 2010, TA7). Au regard des conclusions du rapport d’expertise du 12 février 2013, on doit en effet convenir qu’une telle activité est adaptée aux limitations de la recourante. Comme les salaires bruts standardisés tiennent compte d’un horaire de travail de 40 heures, soit une durée hebdomadaire inférieure à la moyenne usuelle dans les entreprises en</w:t>
      </w:r>
    </w:p>
    <w:p>
      <w:r>
        <w:t>A/3252/2015 - 22/25 - 2010 (41,6 heures ; La Vie économique, 12-2013, B9.2), ce montant doit être porté à CHF 67’692.- (CHF 65’088.- x 41.6 heures : 40 heures). Il convient encore de l’indexer selon l’indice suisse nominal des salaires (2010 : 2579 et 2013 : 2648), ce qui porte le salaire d’invalide à CHF 69’503.- (CHF 67’692.- x 2648 : 2579). Compte tenu de la diminution de rendement de 20%, le montant déterminant est de CHF 55’602.-. La perte de gain s’élève ainsi à CHF 21’398.-, ce qui donne un degré d’invalidité de 27.78%, arrondi à 28%. La chambre de céans remarquera encore à l’attention de la recourante que même en tenant compte d’une déduction supplémentaire de 10%, laquelle n’apparait pas s’imposer vu son jeune âge, le fait qu’elle a terminé sa scolarité obligatoire dans le Canton de Genève, qu’elle est titulaire d’un permis C et que ses limitations fonctionnelles sont déjà prises en considération par le biais de la diminution de rendement, son degré d’invalidité ne serait que de 35% (perte de gain de CHF 26’958.-), degré encore insuffisant pour lui ouvrir le droit à un quart de rente. De même, en considérant que la recourante ne peut pas se prévaloir des capacités professionnelles d’une secrétaire, faute d’être titulaire d’un CFC, et qu’il conviendrait plutôt de se référer au salaire dans des « autres activités commerciales et administratives » simples et répétitives (ligne 23, niveau de qualification 4), dans le secteur privé et public, à savoir CHF 61’920.- par année (CHF 5’160.-. x 12 ; ESS 2010, TA7), montant porté à CHF 64’397.- (CHF 61’920.- x 41.6 heures : 40 heures), puis, suite à l’indexation, à CHF 66’120.- (CHF 64’397.- x 2648 : 2579), le montant déterminant serait de CHF 52’896.-, compte tenu de la diminution de rendement de 20%, et la perte de gain de CHF 24’104.-. Il en résulterait donc un degré d’invalidité insuffisant (31%), même avec une déduction supplémentaire de 10% (perte de gain de CHF 29’394 et degré d’invalidité de 38%). Par surabondance, la chambre de céans observera enfin que la référence aux ESS 2012 n’est pas plus avantageuse à la recourante, dès lors qu’il en résulte une perte de gain inférieure (CHF 21’055.-). En effet, le salaire mensuel brut (valeur centrale) selon les groupes de profession, l’âge et le sexe – secteur privé et secteur public ensemble - (T17) prévoit un revenu de CHF 5’552.- pour les femmes entre 30 et 49 ans, « employé(e)s de réception, guichetiers et assimilés » (ligne 42), ce qui revient à un salaire annuel de CHF 66’624.-, et de CHF 69’456.- compte tenu d’une durée usuelle du travail de 41.7 heures en 2012. Après indexation à 2013 (2012 : 2630 et 2013 : 2648), le revenu est de CHF 69’931.- et, après réduction de 20%, de CHF 55’945.-. Partant, c’est à bon droit que l’intimé a nié à la recourante le droit à une rente.</w:t>
      </w:r>
    </w:p>
    <w:p>
      <w:r>
        <w:rPr>
          <w:b/>
        </w:rPr>
        <w:t>E. 19</w:t>
      </w:r>
    </w:p>
    <w:p>
      <w:r>
        <w:t>Enfin, la décision litigieuse retient que la recourante a refusé de poursuivre des mesures d’ordre professionnel, ce que cette dernière semble implicitement contester, invoquant en substance une inadéquation des mesures octroyées et</w:t>
      </w:r>
    </w:p>
    <w:p>
      <w:r>
        <w:t>A/3252/2015 - 23/25 - reprochant à l’intimé de ne pas lui avoir proposé de suivre son apprentissage en cinq ans.</w:t>
      </w:r>
    </w:p>
    <w:p>
      <w:r>
        <w:rPr>
          <w:b/>
        </w:rPr>
        <w:t>E. 20</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des assurances I 605/04 du 11 janvier 2005 consid. 2 et les références, publié in SVR 2005 IV n° 30 p. 113 ; voir également arrêt du Tribunal fédéral des assurances I 552/06 du 13 juin 2006 consid. 4).</w:t>
      </w:r>
    </w:p>
    <w:p>
      <w:r>
        <w:rPr>
          <w:b/>
        </w:rPr>
        <w:t>E. 21</w:t>
      </w:r>
    </w:p>
    <w:p>
      <w:r>
        <w:t>En l’occurrence, la chambre de céans observe que l’intimé a mis en place de nombreuses mesures, à savoir une orientation professionnelle du 30 octobre 2006 au 4 février 2007, un stage d’orientation du 5 février au 6 mai 2007, puis une formation professionnelle initiale d’une durée de trois ans dès le 27 août 2007. Ce n’est qu’une année après la résiliation de son contrat d’apprentissage que la recourante a soutenu qu’elle n’avait pas pu réaliser cette formation, le travail demandé n’étant pas adapté à ses problèmes de dos. Or, il ressort des faits de la cause que non seulement la recourante était, à l’époque desdites mesures, d’accord avec les conclusions des rapports d’observation selon lesquelles un travail d’employée de commerce était adapté à son état de santé, mais que ces conclusions ont en outre été avalisées par le rapport d’expertise du 12 février 2013. Cela étant, suite à l’interruption de l’apprentissage, l’intimé a accordé une nouvelle orientation professionnelle à la recourante, du 26 septembre au 31 décembre 2011, mesure interrompue pour des motifs de santé. L’intimé lui a ensuite proposé une aide au</w:t>
      </w:r>
    </w:p>
    <w:p>
      <w:r>
        <w:t>A/3252/2015 - 24/25 - placement, laquelle a été refusée par la recourante qui estimait que l’atelier en question ne lui était d’aucune utilité. Enfin, conformément aux désirs de la recourante, l’intimé lui a encore proposé un stage aux EPI afin de valider une piste professionnelle en découvrant un métier, ce que la recourante a finalement refusé, malgré une mise en demeure formelle. Elle a alors sollicité l’octroi d’une rente d’invalidité et manifesté son souhait de pouvoir effectuer du télétravail. Force est donc de constater que l’intimé a octroyé à la recourante les mesures de réadaptation professionnelle nécessaires et appropriées. Rien ne justifiait de lui proposer de réaliser son CFC sur une période prolongée. À cet égard, la chambre de céans rappellera à nouveau que la recourante a indiqué qu’elle avait terminé les deux dernières années de cours, mais avait échoué aux examens à cause de la comptabilité.</w:t>
      </w:r>
    </w:p>
    <w:p>
      <w:r>
        <w:rPr>
          <w:b/>
        </w:rPr>
        <w:t>E. 22</w:t>
      </w:r>
    </w:p>
    <w:p>
      <w:r>
        <w:t>Enfin, s’agissant de l’octroi d’une chaise orthopédique, moyen auxiliaire, il ne fait pas partie du présent litige.</w:t>
      </w:r>
    </w:p>
    <w:p>
      <w:r>
        <w:rPr>
          <w:b/>
        </w:rPr>
        <w:t>E. 23</w:t>
      </w:r>
    </w:p>
    <w:p>
      <w:r>
        <w:t>Au vu de ce qui précède, le recours, mal fondé, est rejeté. Étant donné que depuis le 1er juillet 2006, la procédure n’est plus gratuite (art. 69 al. 1bis LAI), il y a lieu de condamner la recourante au paiement d’un émolument de CHF 200.-.</w:t>
      </w:r>
    </w:p>
    <w:p>
      <w:r>
        <w:t>A/3252/2015 - 25/25 -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