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ATAS/954/2018 vom 16. Oktober 2018</w:t>
      </w:r>
    </w:p>
    <w:p>
      <w:r>
        <w:t>GE Cour de justice, 2018-10-16, FR</w:t>
      </w:r>
    </w:p>
    <w:p>
      <w:r>
        <w:rPr>
          <w:b/>
        </w:rPr>
        <w:t xml:space="preserve">Quelle: </w:t>
      </w:r>
      <w:r>
        <w:t>https://mcp.opencaselaw.ch/entscheid/ge_gerichte_ATAS_954_2018</w:t>
      </w:r>
    </w:p>
    <w:p>
      <w:r>
        <w:t>FR: GE_GERICHTE ATAS/954/2018 du 16 octobre 2018</w:t>
      </w:r>
    </w:p>
    <w:p>
      <w:r>
        <w:t>IT: GE_GERICHTE ATAS/954/2018 del 16 ottobre 2018</w:t>
      </w:r>
    </w:p>
    <w:p>
      <w:pPr>
        <w:pStyle w:val="Heading2"/>
      </w:pPr>
      <w:r>
        <w:t>Erwägungen</w:t>
      </w:r>
    </w:p>
    <w:p>
      <w:r>
        <w:rPr>
          <w:b/>
        </w:rPr>
        <w:t>E. 28</w:t>
      </w:r>
    </w:p>
    <w:p>
      <w:r>
        <w:t>Le 30 mai 2018, l’assurée a rappelé que, selon la jurisprudence de la chambre de céans, un rapport médical doit être pris en considération, même s’il a été rendu postérieurement à la date déterminant, lorsqu’il a trait à la situation antérieure à cette date (ATAS/459/2017).</w:t>
      </w:r>
    </w:p>
    <w:p>
      <w:r>
        <w:rPr>
          <w:b/>
        </w:rPr>
        <w:t>E. 29</w:t>
      </w:r>
    </w:p>
    <w:p>
      <w:r>
        <w:t>Ce courrier a été transmis à l’OAI et la cause gardée à juger.</w:t>
      </w:r>
    </w:p>
    <w:p>
      <w:r>
        <w:t>A/179/2018 - 7/12 -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à 60 cum art. 30 LPGA, ainsi que 64 al. 2 et 89A et ss LPA) dans la mesure où il tend implicitement à l'annulation de la décision entreprise. 3. Le litige se limite au point de savoir si l’OAI était fondé à refuser d’entrer en matière sur la nouvelle demande de prestations de l’assurée.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w:t>
      </w:r>
    </w:p>
    <w:p>
      <w:r>
        <w:t>A/179/2018 - 8/12 -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t>A/179/2018 - 9/12 -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6. a. En l'espèce, au vu des principes rappelés précédemment, l'état de santé de l'assurée au moment du dépôt de sa nouvelle demande du 9 août 2017, doit s'apprécier en fonction de ce qu'il était lorsqu'a été rendue la dernière décision en force ayant statué de manière complète sur ses droits en matière d'assurance- invalidité, soit en l'espèce sur la base de l'état du dossier lors de la décision du 21 novembre 2016. b. Pour rendre cette première décision, l’OAI s’était fondé sur les rapports des Drs D______ et C______. Le Dr D______ avait retenu, le 5 novembre 2015, les diagnostics suivants : - lombalgie résiduelle chronique avec un léger déficit moteur L5 (dans une moindre mesure L4) gauche après une chirurgie discale L4-L5 le 21 mai 2015 ; - douleurs de la face externe du membre inférieur gauche dans le cadre d’une tendinobursite du moyen fessier gauche ; - probable syndrome hypermobilité articulaire bénigne ; - hépatite B chronique.</w:t>
      </w:r>
    </w:p>
    <w:p>
      <w:r>
        <w:t>A/179/2018 - 10/12 - Selon le Dr C______, la cause précise de l’incapacité de travail était, le 7 avril 2015, une hernie discale L4-L5 droite. Il y a lieu de rappeler que l’assurée a subi une intervention le 21 mai 2015 et a pu reprendre une activité en novembre 2015. c. À l’appui de sa nouvelle demande, l’assurée allègue souffrir - d’une récidive de hernie discale L4-L5 médiane avec conflit radiculaire en L5 (IRM du 30 mai 2017) - d’une accutisation de type Modic de grade I en L4-L5 avec dessiccation discale et pincement discal L4-L5 et L5-S1 (IRM du 19 septembre 2017) - d’une cervico-brachialgie C7 diagnostiquée par la Dresse E______ le 3 novembre 2017 (IRM du 6 décembre 2017), qui montre un pincement discal avec dessiccation discale débutante C5-C6 doublée d’une volumineuse déchirure de l’anneau discal fibreux sur la ligne médiane gauche en conflit avec la racine C6 gauche. L’assurée a par ailleurs produit le rapport établi le 30 mai 2017 par le service de neurochirurgie des HUG suite à une consultation aux urgences le 29 mai 2017, aux termes duquel elle présente une récidive d’une hernie discale L4-L5 médiane et paramédiane droite en conflit avec les deux racines L5 prédominant droite, et une lombosciatalgie avec déficit sensitif en selle et hypotonie du sphincter anal avec perte d’urine depuis la veille au soir. Le Dr C______ a établi le 22 août 2017 un certificat qu’il a intitulé « signalisation d’aggravation de son état de santé ». Il a particulièrement fait état de l’IRM lombaire du 29 mai 2017. L’assurée a enfin également produit trois rapports de la Dresse E______ datés des 19 septembre, 3 novembre et 6 décembre 2017. 7. Le SMR considère que les rapports des Drs H______ et C______ des 12 et 16 février 2018, que l’assurée a transmis à la chambre de céans le 14 février 2018, ne doivent pas être pris en considération dans le cadre du présent litige. L’assurée, se référant à un arrêt rendu par la chambre de céans (ATAS/459/2017), a quant à elle fait valoir qu’un rapport médical doit être retenu, même s’il a été rendu postérieurement à la date déterminante, lorsqu’il a trait à la situation antérieure à cette date. En réalité, dans le cas cité par l’assurée, il n’est pas question d’un refus d’entrer en matière sur une nouvelle demande de prestations, mais d’un rejet (cf. ATF 133 V 108 et ATF 117 V 198 consid. 3a). Il a alors été admis que le recourant pouvait produire en procédure contentieuse tout rapport médical postérieur à la décision litigieuse, pour autant qu’il serve à établir la situation médicale à la date de ladite décision, de sorte que le grief de violation du principe de non-discrimination n’avait pas à être examiné. En l’espèce, s’agissant d’un refus d’entrer en matière, l’examen auquel doit procéder la chambre de céans doit se limiter à déterminer si l’assurée a rendu</w:t>
      </w:r>
    </w:p>
    <w:p>
      <w:r>
        <w:t>A/179/2018 - 11/12 - plausible ou non l'aggravation alléguée de son état de santé, et ceci en fonction de l'état du dossier au moment où la décision litigieuse a été notifiée. Il y a toutefois lieu de considérer que la question de savoir si les pièces médicales produites le 14 février 2018 peuvent ou non être prises en considération importe peu, dans la mesure où elles n’apportent aucun élément nouveau ; elles viennent au contraire confirmer et préciser les rapports précédents dont l’OAI disposait au moment de rendre sa décision refusant d’entrer en matière. Les diagnostics relevés par le Dr H______ le 16 février 2018 correspondent à ceux que relevaient les Drs C______ et E______ les 22 août, 19 septembre, 3 novembre et 6 décembre 2017, et ceux retenus par le Dr C______ le 12 février 2018 se fondent notamment sur l’IRM du 6 décembre 2017. 8. Il s’avère ainsi que l’assurée souffre d’une récidive de hernie discale et d’atteintes nouvelles au niveau du sacrum et des cervicales. On ignore en revanche quels en sont les effets sur la capacité de travail. La question de savoir si l’assurée a rendu vraisemblable une aggravation de son état de santé peut quoi qu’il en soit être laissée ouverte. Cette aggravation serait en effet survenue le 29 mai 2017, lorsque l’assurée s’est rendue aux urgences (cf. également le certificat du Dr C______ daté du 22 août 2017). Or, moins d’une année s’est écoulée entre cette date et celle à laquelle la décision a été rendue (art. 28 al. 1 let. b LAI). Aussi sa demande aurait-elle été, quoi qu’il en soit, prématurée. Le recours sera donc rejeté.</w:t>
      </w:r>
    </w:p>
    <w:p>
      <w:r>
        <w:t>A/179/2018 - 12/12 -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