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ATAS/953/2023 vom 7. Dezember 2023</w:t>
      </w:r>
    </w:p>
    <w:p>
      <w:r>
        <w:t>GE Cour de justice, 2023-12-07, FR</w:t>
      </w:r>
    </w:p>
    <w:p>
      <w:r>
        <w:rPr>
          <w:b/>
        </w:rPr>
        <w:t xml:space="preserve">Quelle: </w:t>
      </w:r>
      <w:r>
        <w:t>https://mcp.opencaselaw.ch/entscheid/ge_gerichte_ATAS_953_2023</w:t>
      </w:r>
    </w:p>
    <w:p>
      <w:r>
        <w:t>FR: GE_GERICHTE ATAS/953/2023 du 7 décembre 2023</w:t>
      </w:r>
    </w:p>
    <w:p>
      <w:r>
        <w:t>IT: GE_GERICHTE ATAS/953/2023 del 7 dicembre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d’une part, sur les droits de l’assuré à des prestations en rapport avec l’accident du 13 février 2019 (décision du 10 mai 2023) et d’autre part, sur la bonne foi de l’assuré dans le cadre de sa demande de remise d’une obligation de rembourser (décision du 11 mai 2023).</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6.2</w:t>
      </w:r>
    </w:p>
    <w:p>
      <w:r>
        <w:t>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6.3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w:t>
      </w:r>
    </w:p>
    <w:p>
      <w:r>
        <w:t>A/1959/2023 - 9/29 -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ATF 125 V 195 consid. 2).</w:t>
      </w:r>
    </w:p>
    <w:p>
      <w:r>
        <w:rPr>
          <w:b/>
        </w:rPr>
        <w:t>E. 7</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8.1</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8.2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w:t>
      </w:r>
    </w:p>
    <w:p>
      <w:r>
        <w:t>A/1959/2023 - 10/29 -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A/1959/2023 - 11/29 -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w:t>
      </w:r>
    </w:p>
    <w:p>
      <w:r>
        <w:t>A/1959/2023 - 12/29 - l’autre de ces avis et il y a lieu de mettre en œuvre une expertise par un médecin indépendant selon la procédure de l’art. 44 LPGA ou une expertise judiciaire (ATF 139 V 225 consid. 5.2 et les références ; 135 V 465 consid. 4.6).</w:t>
      </w:r>
    </w:p>
    <w:p>
      <w:r>
        <w:rPr>
          <w:b/>
        </w:rPr>
        <w:t>E. 9.4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(arrêt du Tribunal fédéral 8C_469/2020 du 26 mai 2021 consid. 3.2 et les références).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t>A/1959/2023 - 13/29 -</w:t>
      </w:r>
    </w:p>
    <w:p>
      <w:r>
        <w:rPr>
          <w:b/>
        </w:rPr>
        <w:t>E. 10.2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10.3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w:t>
      </w:r>
    </w:p>
    <w:p>
      <w:r>
        <w:rPr>
          <w:b/>
        </w:rPr>
        <w:t>E. 10.4</w:t>
      </w:r>
    </w:p>
    <w:p>
      <w:r>
        <w:t>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accidents,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Est déterminant, pour fixer (de manière hypothétique) le revenu réalisable sans invalidité et le revenu d'invalide, le gain que cette personne pourrait obtenir</w:t>
      </w:r>
    </w:p>
    <w:p>
      <w:r>
        <w:t>A/1959/2023 - 14/29 - en exerçant une activité raisonnablement exigible, compte tenu des possibilités que lui offre un marché du travail équilibré (ATF 114 V 310 consid. 4a ; arrêt du Tribunal fédéral 8C_716/2021 du 12 octobre 2022 consid. 9.1, non publié in ATF 148 V 419).</w:t>
      </w:r>
    </w:p>
    <w:p>
      <w:r>
        <w:rPr>
          <w:b/>
        </w:rPr>
        <w:t>E. 10.5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Selon la jurisprudence, la preuve de l'existence d'un salaire dit « social » est soumise à des exigences sévères, car on doit partir du principe que les salaires payés équivalent normalement à une prestation de travail correspondante (ATF 141 V 351 consid. 4.2 et la référence).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du Tribunal fédéral 8C_655/2021 du 27 juin 2022 consid. 6.4.3 et les références).</w:t>
      </w:r>
    </w:p>
    <w:p>
      <w:r>
        <w:rPr>
          <w:b/>
        </w:rPr>
        <w:t>E. 10.6</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w:t>
      </w:r>
    </w:p>
    <w:p>
      <w:r>
        <w:t>A/1959/2023 - 15/29 -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rPr>
          <w:b/>
        </w:rPr>
        <w:t>E. 10.7</w:t>
      </w:r>
    </w:p>
    <w:p>
      <w:r>
        <w:t>Depuis la 10ème édition des ESS (ESS 2012), les emplois sont classés par l'Office fédéral de la statistique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w:t>
      </w:r>
    </w:p>
    <w:p>
      <w:r>
        <w:t>A/1959/2023 - 16/29 -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10.8</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w:t>
      </w:r>
    </w:p>
    <w:p>
      <w:r>
        <w:t>A/1959/2023 - 17/29 - sa propre appréciation comme la mieux appropriée (ATF 137 V 71 consid. 5.2 et la référence).</w:t>
      </w:r>
    </w:p>
    <w:p>
      <w:r>
        <w:rPr>
          <w:b/>
        </w:rPr>
        <w:t>E. 10.9</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w:t>
      </w:r>
    </w:p>
    <w:p>
      <w:r>
        <w:rPr>
          <w:b/>
        </w:rPr>
        <w:t>E. 11</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ce qui concerne la première décision sur opposition du 10 mai 2023, soit le refus de rente invalidité et d’IPAI, le recourant fait valoir, dans un premier grief, que la fixation de son taux d’invalidité par la SUVA est erronée, dès lors que l’intimée a pris en considération un salaire statistique basé sur l’ESS, alors qu’il fallait déterminer le salaire en fonction de la situation professionnelle concrète du recourant. La SUVA de son côté, précise que pour fixer le salaire sans invalidité, elle s’est fondée sur les déclarations de l’ancien employeur du recourant, ainsi que sur les fiches de salaire des années 2020 et 2021. Pour le salaire avec invalidité, la SUVA rappelle qu’elle n’est pas tenue de reprendre le revenu arrêté par l’office de l'assurance-invalidité du canton de Genève (ci-après : l'OAI) dans la mesure où l’évaluation de l’invalidité par l’OAI n’a pas de force contraignante pour l’assurance-accidents. La SUVA considère que l’activité d’employé de voirie exercée par le recourant ne repose pas sur des rapports de travail particulièrement stables, ne met pas pleinement en valeur sa capacité travail résiduelle, et n’est pas adaptée à son état de santé, raison pour laquelle elle n’a pas retenu le salaire en</w:t>
      </w:r>
    </w:p>
    <w:p>
      <w:r>
        <w:t>A/1959/2023 - 18/29 - question et s’est fondée sur un revenu avec invalidité déterminé sur la base de l’ESS.</w:t>
      </w:r>
    </w:p>
    <w:p>
      <w:r>
        <w:rPr>
          <w:b/>
        </w:rPr>
        <w:t>E. 13.1</w:t>
      </w:r>
    </w:p>
    <w:p>
      <w:r>
        <w:t>Comme le relève à juste titre l’intimée, il apparaît que nul ne conteste le fait que l’état de santé du recourant était stabilisé au 30 novembre 2020. Étant précisé que la stabilisation a été confirmée aussi bien par les médecins de la CRR (rapport du 24 janvier 2020), par le prof. I______ (avis médical du 10 juin 2020) et par le médecin conseil de la SUVA, le Dr E______ (rapport d’examen du 7 septembre 2020). Dès lors, il s’agit d’examiner si le revenu avec invalidité et sans invalidité a été correctement déterminé par la SUVA.</w:t>
      </w:r>
    </w:p>
    <w:p>
      <w:r>
        <w:rPr>
          <w:b/>
        </w:rPr>
        <w:t>E. 13.2</w:t>
      </w:r>
    </w:p>
    <w:p>
      <w:r>
        <w:t>En ce qui concerne le revenu sans invalidité fixé par la SUVA, on rappellera qu’il faut partir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Conformément à la jurisprudence susmentionnée, la SUVA a pris en compte les derniers salaires réalisés par l’assuré. L’intimée a retenu un revenu annuel de CHF 69’288.95 en se fondant sur un tarif horaire de CHF 30.-/heure, majoré de 10.64% pour tenir compte d’un droit aux vacances de cinq semaines et de 8.33% en guise de 13ème salaire. Ce calcul est conforme au contenu du courrier du 30 avril 2021 contresigné par le responsable d’Isotoiture, ancien employeur de l’assuré, confirmant que pour les années 2020 et 2021, le salaire horaire était de CHF 33.19 × 41 heures par semaine plus 8.33% (13ème salaire). Le montant calculé par la SUVA à titre de revenu sans invalidité correspond ainsi aux derniers salaires réalisés par le recourant auprès de son employeur, avant l’accident, et ne prête pas le flanc à la critique.</w:t>
      </w:r>
    </w:p>
    <w:p>
      <w:r>
        <w:rPr>
          <w:b/>
        </w:rPr>
        <w:t>E. 13.3</w:t>
      </w:r>
    </w:p>
    <w:p>
      <w:r>
        <w:t>En ce qui concerne le revenu avec invalidité, il convient tout d’abord d’écarter le grief du recourant qui allègue que l’intimée aurait dû reprendre le revenu avec invalidité établi par l’OAI, soit CHF 55'319.-. En effet, comme le Tribunal fédéral l’a rappelé dans son arrêt du 26 novembre 2018 (arrêt du Tribunal fédéral 8C_303/2018, consid. 5.2) « Par ailleurs, contrairement à ce que soutient l'intimée au sujet du principe d'uniformité de la notion d'invalidité dans l'assurance sociale, l'évaluation de l'invalidité par les organes de l'assurance-invalidité n'a pas de force contraignante pour l'assureur-accidents (ATF 131 V 362 consid. 2.3 p. 368). Il est donc admissible d'évaluer l'invalidité de l'intimée indépendamment des décisions rendues en matière d'assurance-invalidité ».</w:t>
      </w:r>
    </w:p>
    <w:p>
      <w:r>
        <w:t>A/1959/2023 - 19/29 - Le recourant reproche également à la SUVA de ne pas avoir repris, à titre de revenu avec invalidité, le montant correspondant à son activité d’employé de voirie exercée pour le compte de la Commune de Thônex, depuis le 1er juin 2022, soit un salaire annuel de CHF 58'720.- pour un travail à plein temps, selon le contrat de travail du 31 mai 2022.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La SUVA expose que le contrat en question ne peut pas être considéré comme se fondant sur des rapports de travail particulièrement stables dès lors qu’il prévoit un temps d’essai allant du 1er juin 2022 au 31 mai 2025, pendant lequel l’engagement pourra être résilié de part et d’autre moyennant un délai d’un mois pour la fin d’un mois pendant la première année d’activité, puis de deux mois pour la fin d’un mois dès la deuxième année d’activité, étant spécifié que ce n’est qu’au terme de la période probatoire de trois ans que le conseil administratif se déterminera sur la nomination de l’assuré en qualité de fonctionnaire. On ne saurait suivre l’intimée dans son argumentation dès lors qu’il ne s’agit pas d’un contrat de durée déterminée, et qu’en dépit de la formulation quelque peu ambiguë « Temps d’essai », il n’en reste pas moins qu’il s’agit d’un contrat de durée indéterminée, qui pourrait fort bien se prolonger au-delà de la période probatoire de trois ans, quand bien même l’assuré ne serait pas nommé en qualité de fonctionnaire. Partant, la chambre de céans considère que la condition de la stabilité du contrat est remplie. La SUVA estime également que l’activité en question ne met pas pleinement en valeur sa capacité de travail résiduelle exigible et n’est pas adaptée aux limitations fonctionnelles du recourant dès lors que ce dernier devrait effectuer des travaux de voirie, soit notamment du balayage, du nettoyage, du transport de containers, toutes activités incompatibles avec ses limitations fonctionnelles. Il est exact que les médecins consultés, soit ceux du CRR, le prof. I______ et le Dr E______, ont retenu des limitations fonctionnelles qui sont : éviter le port de charges supérieures à 15 kg, ainsi que le port de charges répété ; éviter le travail prolongé avec le membre supérieur gauche au-dessus du plan des épaules ; éviter les positions en porte-à-faux du membre supérieur gauche. Comme le souligne l’intimée, l’activité du recourant au sein du service de la voirie ne paraît pas mettre pleinement en valeur sa capacité résiduelle et n’est clairement pas compatible avec ses limitations fonctionnelles. Ce dernier fait valoir dans son mémoire de recours qu’il a obtenu de ne pas exercer d’autres activités que la</w:t>
      </w:r>
    </w:p>
    <w:p>
      <w:r>
        <w:t>A/1959/2023 - 20/29 - conduite du camion de la voirie, ce qui n’est toutefois ni démontré par témoignage, ni par document. Le contrat de travail mentionne comme activité « Employé de voirie à plein temps au service des routes », il n’est nulle part fait mention d’une activité de conducteur de camion ou d’un cahier des charges ne prévoyant que la conduite de véhicules. Dès lors, on ne saurait se fonder sur cette allégation, non démontrée, pour admettre que l’activité au sein du service de la voirie est compatible avec les limitations fonctionnelles du recourant. Même si l’on devait admettre que son employeur ait accepté de limiter l’activité du recourant au sein de la voirie, à la conduite de véhicules (ce qui n’est pas démontré), il n’en resterait pas moins qu’une telle limitation de la part de l’employeur pourrait être qualifiée de mesure sociale ; dans un tel cas, l’autorité ne peut pas retenir un salaire dont une composante est de toute évidence une composante de salaire social. Compte tenu de ce qui précède, c’est à bon droit que la SUVA n’a pas tenu compte de l’activité d’employé de voirie et s’est fondée sur l’ESS pour établir le salaire avec invalidité. Dès lors que depuis la décision du 6 avril 2022, l’ESS 2020 a été publiée, c’est sur cette base qu’il convient de calculer le salaire avec invalidité. En l’absence de formation particulière du recourant, on se réfère au niveau de compétences TA1_skill_level, pour les hommes, soit un salaire mensuel de CHF 5’261.-, correspondant à 40 heures par semaine, qui, une fois réévalué à 41.7 heures par semaine, aboutit à un salaire annuel de CHF 65’815.11. Après indexation du montant à l’évolution des salaires nominaux pour les hommes en 2021, suite à la stabilisation de l’état de santé au 30 novembre 2020, c’est un salaire avec invalidité de CHF 65’354.40 qu’il convient de retenir.</w:t>
      </w:r>
    </w:p>
    <w:p>
      <w:r>
        <w:rPr>
          <w:b/>
        </w:rPr>
        <w:t>E. 13.4</w:t>
      </w:r>
    </w:p>
    <w:p>
      <w:r>
        <w:t>S’agissant de l’abattement, la SUVA estime que les conditions ne sont pas remplies pour les raisons suivantes : en ce qui concerne la nationalité kosovare et le fait que l’assuré soit arrivé en Suisse en 2010 et soit titulaire d’un permis C, il apparaît qu’il n’a subi aucun préjudice de ce fait, notamment quant à la fixation de son salaire chez son précédent employeur Isotoiture. S’y ajoute le fait que l’assuré est jeune (né en 1987), et qu’il n’a travaillé pour Isotoiture que pendant deux ans au moment de l’accident ; de plus, selon les pièces médicales considérées comme probantes par la chambre de céans, il est apte à travailler à 100%, sans baisse de rendement, dans une activité adaptée à ses limitations fonctionnelles, s’agissant d’activités simples et répétitives. Le recourant ne critique en aucune façon l’absence d’abattement dans le calcul de la SUVA et ne fait valoir aucun élément qui serait susceptible d’entraîner l’application d’un abattement. Partant, la chambre de céans considère qu’il est établi au degré de la vraisemblance prépondérante que le salaire sans invalidité et que le salaire avec invalidité ont été calculés correctement par la SUVA.</w:t>
      </w:r>
    </w:p>
    <w:p>
      <w:r>
        <w:rPr>
          <w:b/>
        </w:rPr>
        <w:t>E. 13.5</w:t>
      </w:r>
    </w:p>
    <w:p>
      <w:r>
        <w:t>À l’aune de ce qui précède, la comparaison des revenus fait apparaître le taux d’invalidité suivant : [69'288.95 – 65'354.40] / 69'288.95 x 100 = 5.68% arrondi à 6%, étant encore précisé que, comme le relève la SUVA, même si l’on avait tenu compte du revenu sans invalidité allégué par le recourant, soit CHF 70'761.10, cela</w:t>
      </w:r>
    </w:p>
    <w:p>
      <w:r>
        <w:t>A/1959/2023 - 21/29 - ne changerait rien à l’issue du litige dès lors que le taux d’invalidité serait alors de 7.64%, arrondi à 8%, ce qui serait encore inférieur au taux minimum de 10%. La décision de la SUVA étant bien-fondée, quant au calcul du taux d’invalidité, le recours sera rejeté sur ce premier grief.</w:t>
      </w:r>
    </w:p>
    <w:p>
      <w:r>
        <w:rPr>
          <w:b/>
        </w:rPr>
        <w:t>E. 14</w:t>
      </w:r>
    </w:p>
    <w:p>
      <w:r>
        <w:t>En ce qui concerne le second grief, relatif au refus de la SUVA de lui accorder une IPAI, le recourant estime avoir droit à une IPAI de 30%, en se fondant sur l’annexe 3 de l'ordonnance sur l'assurance-accidents du 20 décembre 1982 (OLAA - RS 832.202) qui prévoit qu’en cas de perte totale d’un bras, au niveau du coude, l’indemnité s’élève à 50%, alors qu’en cas de luxation récidivante de l’épaule, l’indemnité est de 10%. S’agissant des constatations de l’expert, le recourant les réfute en considérant qu’il était nécessaire de réaliser une IRM pour constater une éventuelle fracture et que des examens complémentaires seraient nécessaires.</w:t>
      </w:r>
    </w:p>
    <w:p>
      <w:r>
        <w:rPr>
          <w:b/>
        </w:rPr>
        <w:t>E. 14.1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 ; elle ne doit pas excéder le montant maximum du gain annuel assuré à l'époque de l'accident et elle est échelonnée selon la gravité de l'atteinte à l'intégrité (al. 1, 2ème phr.).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w:t>
      </w:r>
    </w:p>
    <w:p>
      <w:r>
        <w:t>A/1959/2023 - 22/29 -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w:t>
      </w:r>
    </w:p>
    <w:p>
      <w:r>
        <w:rPr>
          <w:b/>
        </w:rPr>
        <w:t>E. 14.2</w:t>
      </w:r>
    </w:p>
    <w:p>
      <w:r>
        <w:t>Selon l’art. 36 OLAA, édicté conformément à la délégation de compétence de l’art. 25 al. 2 LAA, une atteinte à l'intégrité est réputée durable lorsqu'il est prévisible qu'elle subsistera avec au moins la même gravité pendant toute la vie (al. 1, 1ère phr.) ; elle est réputée importante lorsque l'intégrité physique ou mentale subit, indépendamment de la diminution de la capacité de gain, une altération évidente ou grave (al. 1, 2ème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w:t>
      </w:r>
    </w:p>
    <w:p>
      <w:r>
        <w:t>A/1959/2023 - 23/29 - RAMA 2004 p. 415 ; arrêt du Tribunal fédéral U 134/03 du 12 janvier 2004 consid. 5.2).</w:t>
      </w:r>
    </w:p>
    <w:p>
      <w:r>
        <w:t>Depuis le 1er janvier 2008, le montant maximum du gain assuré s’élève à CHF 126'000.- par an et CHF 346.- par jour (art. 22 al. 1 OLAA). Entre le 1er janvier 2000 et le 31 décembre 2007, ce montant s'élevait à CHF 106'800.- par an et CHF 293.- par jour (art. 22 al. 1 aOLAA ; RO 1998 2588).</w:t>
      </w:r>
    </w:p>
    <w:p>
      <w:r>
        <w:rPr>
          <w:b/>
        </w:rPr>
        <w:t>E. 14.3</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 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14.4</w:t>
      </w:r>
    </w:p>
    <w:p>
      <w:r>
        <w:t>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w:t>
      </w:r>
    </w:p>
    <w:p>
      <w:r>
        <w:t>A/1959/2023 - 24/29 - (arrêt du Tribunal fédéral 8C_745/2022 du 29 juin 2023 consid. 3.3 et les références).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14.5</w:t>
      </w:r>
    </w:p>
    <w:p>
      <w:r>
        <w:t>Dans le cas d’espèce, le recourant perd de vue qu’il ne lui appartient pas de déterminer quels sont les examens médicaux qui sont nécessaires pour évaluer ses troubles physiques, car ce rôle est dévolu au médecin. Son affirmation selon laquelle la détermination de la SUVA ne peut être suivie car « il est notoire qu’il est nécessaire de réaliser une IRM » [qui n’a pas été effectuée] et que le rapport radiographique est incomplet, ne repose sur aucun avis d’un médecin spécialisé, pas même son médecin traitant, mais sur sa seule appréciation personnelle. À cet égard, et en ce qui concerne les appréciations du médecin d’arrondissement de la SUVA, le Dr E______, il sied de rappeler qu’il dispose des connaissances et d’expériences particulièrement développées en traumatologie ; les compétences des médecins d’arrondissement des assureurs ont d’ailleurs été reconnues par le Tribunal fédéral dans son arrêt du 2 novembre 2022, 8C_355/2022 consid. 7.2 « Denn praxisgemäss sind die Kreisärzte nach ihrer Funktion und beruflichen Stellung Fachärzte im Bereich der Unfallmedizin. Da sie ausschliesslich Unfallpatienten, Körperschädigungen im Sinne des Art. 6 Abs. 2 UVG (früher : unfallähnliche Körperschädigungen gemäss Art. 9 Abs. 2 aUVV) ». Compte tenu de ces éléments,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recourant opère un calcul de comparaison en estimant que son atteinte se situe entre les deux atteintes citées, soit celle entraînant une indemnité à 50% et l’autre entraînant une indemnité de 10% ; cette appréciation, toute personnelle, n’est en aucun cas partagée par le médecin d’arrondissement, qui l’a estimée à 5%. À défaut de connaissances médicales, la comparaison que le recourant opère ne se fonde que sur sa propre appréciation et ne saurait en aucun cas être suivie contra l’avis du médecin d’arrondissement de la SUVA. Étant encore précisé que le recourant ne produit aucun avis médical d’un médecin traitant qui pourrait supporter ses allégations quant à la comparaison à laquelle il se</w:t>
      </w:r>
    </w:p>
    <w:p>
      <w:r>
        <w:t>A/1959/2023 - 25/29 - livre, entre l’IPAI pour une perte du bras au niveau du coude et l’IPAI pour une luxation de l’épaule.</w:t>
      </w:r>
    </w:p>
    <w:p>
      <w:r>
        <w:rPr>
          <w:b/>
        </w:rPr>
        <w:t>E. 14.6</w:t>
      </w:r>
    </w:p>
    <w:p>
      <w:r>
        <w:t>Dès lors que l’appréciation du Dr E______ n’est pas contredite par celle d’un médecin traitant, pas plus qu’elle ne serait entachée de contradictions, la chambre de céans considère qu’elle présente une valeur probante et qu’il y a lieu de la retenir. Le taux d’atteinte à l’intégrité de 5% sera ainsi confirmé, ce qui n’ouvre pas le droit à une IPAI. Le recours sera donc également rejeté sur ce second grief.</w:t>
      </w:r>
    </w:p>
    <w:p>
      <w:r>
        <w:rPr>
          <w:b/>
        </w:rPr>
        <w:t>E. 15</w:t>
      </w:r>
    </w:p>
    <w:p>
      <w:r>
        <w:t>S’agissant de la seconde décision sur opposition du 11 mai 2023, soit le refus de remise de l’obligation de rembourser, le recourant allègue n’avoir pas eu de comportement dolosif et n’avoir pas participé à la détermination de son revenu, ni au calcul des IJ ; il expose avoir fait confiance, aussi bien à son employeur qu’à la SUVA, lorsqu’il a commencé à recevoir les indemnités. L’intimée, de son côté, rappelle que l’ignorance relative à la perception indue de prestations ne suffit pas, à elle seule, pour admettre l’existence de la bonne foi. Elle rappelle que sa situation financière s’est grandement améliorée depuis son accident, son revenu moyen s’élevant à CHF 4'717.69 alors qu’il gagnait en moyenne, sur les douze derniers mois avant son accident, CHF 2'932.74 par mois. Selon la SUVA, une telle différence en faveur de l’assuré devait l’amener à se poser des questions et à prendre contact avec la SUVA pour l’informer de cette irrégularité manifeste.</w:t>
      </w:r>
    </w:p>
    <w:p>
      <w:r>
        <w:rPr>
          <w:b/>
        </w:rPr>
        <w:t>E. 15.1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Le destinataire d'une décision de restitution qui entend la contester dispose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On précisera encore que selon l'art. 4 al. 4 de l'ordonnance fédérale sur la partie générale du droit des assurances sociales du 11 septembre 2002 (OPGA - RS 830.11), une telle demande doit être déposée au plus tard 30 jours à compter de l'entrée en force de la décision de restitution. Ainsi, il n’est pas possible d’examiner en même temps le bien-fondé de la restitution et les conditions de la remise de l’obligation de restituer (arrêt du Tribunal fédéral 8C_814/2017 du 11 mars 2019 consid. 6 et les références).</w:t>
      </w:r>
    </w:p>
    <w:p>
      <w:r>
        <w:t>A/1959/2023 - 26/29 -</w:t>
      </w:r>
    </w:p>
    <w:p>
      <w:r>
        <w:rPr>
          <w:b/>
        </w:rPr>
        <w:t>E. 15.2</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15.3</w:t>
      </w:r>
    </w:p>
    <w:p>
      <w:r>
        <w:t>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15.4</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15.5</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w:t>
      </w:r>
    </w:p>
    <w:p>
      <w:r>
        <w:t>A/1959/2023 - 27/29 -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15.6</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15.7</w:t>
      </w:r>
    </w:p>
    <w:p>
      <w:r>
        <w:t>En l’espèce, le recourant prétend ne pas avoir été mis au courant des calculs effectués entre son employeur et la SUVA, raison pour laquelle sa responsabilité n’est pas engagée. Il sied toutefois de constater que même s’il n’était pas au courant de ces discussions, le recourant n’a pas pu ignorer que les versements qu’il a reçus après son accident étaient bien supérieurs aux salaires qu’il touchait auparavant. La chambre de céans considère qu’une telle anomalie est de nature à faire naître des doutes chez son bénéficiaire, même si ce dernier n’a pas de connaissances particulières en matière d’assurances. Toute personne capable de discernement et constatant une augmentation de ses revenus de plus de 30% alors qu’elle ne travaille plus et perçoit des IJ, ne peut ignorer, raisonnablement, qu’elle bénéficie d’un montant auquel elle n’a pas droit. Dans tous les cas, le bon sens et la prudence devraient l’amener à contacter l’assureur, pour signaler cette situation pour le moins insolite. À cet égard, le Tribunal fédéral, dans son arrêt du 25 avril 2019 (9C_16/2019 consid. 4 in fine et 6), n’a pas tenu compte des arguments d’un assuré qui plaidait « ses qualités humaines, (…) sa naïveté et (…) sa maladresse » pour reconnaitre sa bonne foi et a rappelé qu’il y a « négligence grave quand un ayant droit ne se conforme pas à ce qui peut raisonnablement être exigé d'une personne capable de discernement dans une situation identique et dans les mêmes circonstances (ATF 110 V 176 consid. 3d p. 181 ; SYLVIE PÉTREMAND, Commentaire romand, Loi sur la partie générale des assurances sociales, ch. 63 ss ad art. 25) ». Quelle que soit l’argumentation du recourant, quant à son manque de connaissances ou à ce qu’il pouvait imaginer, il n’en reste pas moins que l’on revient, inexorablement, au constat qu’une personne capable de discernement, dans une situation identique et dans les mêmes circonstances, n’aurait pas manqué de</w:t>
      </w:r>
    </w:p>
    <w:p>
      <w:r>
        <w:t>A/1959/2023 - 28/29 - reconnaître le caractère insolite de la situation et aurait contacté, sans retard, la SUVA, afin de clarifier la quotité des prestations auxquelles elle avait droit. On ne saurait suivre le recourant, qui reproche à la SUVA d’avoir continué à verser des indemnités trop élevées pendant deux ans alors que, précisément, le recourant percevait ces dernières sans réagir. Ce serait ainsi retourner l’équation que de reprocher à la SUVA d’avoir trop versé alors que le comportement dolosif visé par la loi et la jurisprudence est celui de la personne qui ne peut raisonnablement ignorer qu’il est anormal de percevoir des indemnités d’assurances bien supérieures au salaire qu’elle percevait lorsqu’elle travaillait. Au regard de ces éléments et de l’importance des montants perçus, sans droit, chaque mois, ainsi que de la durée pendant laquelle le recourant a profité de ces montants indus, soit près de deux ans, sa faute ne peut pas être considérée comme légère et sa bonne foi ne peut être reconnue.</w:t>
      </w:r>
    </w:p>
    <w:p>
      <w:r>
        <w:rPr>
          <w:b/>
        </w:rPr>
        <w:t>E. 15.8</w:t>
      </w:r>
    </w:p>
    <w:p>
      <w:r>
        <w:t>Partant, dès lors que la condition indispensable de la bonne foi fait défaut, la décision sur opposition du 11 mai 2023 sera confirmée et le recours du 9 juin 2023 sera rejeté.</w:t>
      </w:r>
    </w:p>
    <w:p>
      <w:r>
        <w:rPr>
          <w:b/>
        </w:rPr>
        <w:t>E. 16</w:t>
      </w:r>
    </w:p>
    <w:p>
      <w:r>
        <w:t>Entièrement mal fondés, les recours sont rejetés.</w:t>
      </w:r>
    </w:p>
    <w:p>
      <w:r>
        <w:rPr>
          <w:b/>
        </w:rPr>
        <w:t>E. 17</w:t>
      </w:r>
    </w:p>
    <w:p>
      <w:r>
        <w:t>Pour le surplus, la procédure est gratuite (art. 61 let. fbis LPGA a contrario).</w:t>
      </w:r>
    </w:p>
    <w:p>
      <w:r>
        <w:t>A/1959/2023 - 29/29 -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