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ATAS/953/2009 vom 23. Juli 2009</w:t>
      </w:r>
    </w:p>
    <w:p>
      <w:r>
        <w:t>GE Cour de justice, 2009-07-23, FR</w:t>
      </w:r>
    </w:p>
    <w:p>
      <w:r>
        <w:rPr>
          <w:b/>
        </w:rPr>
        <w:t xml:space="preserve">Quelle: </w:t>
      </w:r>
      <w:r>
        <w:t>https://mcp.opencaselaw.ch/entscheid/ge_gerichte_ATAS_953_2009</w:t>
      </w:r>
    </w:p>
    <w:p>
      <w:r>
        <w:t>FR: GE_GERICHTE ATAS/953/2009 du 23 juillet 2009</w:t>
      </w:r>
    </w:p>
    <w:p>
      <w:r>
        <w:t>IT: GE_GERICHTE ATAS/953/2009 del 23 luglio 2009</w:t>
      </w:r>
    </w:p>
    <w:p>
      <w:pPr>
        <w:pStyle w:val="Heading2"/>
      </w:pPr>
      <w:r>
        <w:t>Erwägungen</w:t>
      </w:r>
    </w:p>
    <w:p>
      <w:r>
        <w:rPr>
          <w:b/>
        </w:rPr>
        <w:t>E. 1</w:t>
      </w:r>
    </w:p>
    <w:p>
      <w:r>
        <w:t>Conformément à l'art. 56V al. 1 let. a ch. 2 de la loi genevoise sur l'organisation judiciaire du 22 novembre 1941 (LOJ; RS E 2 05), le Tribunal cantonal des</w:t>
      </w:r>
    </w:p>
    <w:p>
      <w:r>
        <w:t>A/30/2009 - 7/17 - assurances sociales connaît en instance unique des contestations prévues à l’article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en l'espèce, dès lors que les faits juridiquement déterminants se sont déroulés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ne sont donc pas ap- plicables.</w:t>
      </w:r>
    </w:p>
    <w:p>
      <w:r>
        <w:rPr>
          <w:b/>
        </w:rPr>
        <w:t>E. 3</w:t>
      </w:r>
    </w:p>
    <w:p>
      <w:r>
        <w:t>Le délai de recours est de 30 jours (art. 60 al. 1 LPGA). En l’espèce, la décision litigieuse, datée du 18 novembre 2008, a été reçue le 21 novembre 2008. Étant rappelé que les délais sont suspendus du 18 décembre au 2 janvier inclusivement (art. 38 al. 4 let. c et 60 al. 2 LPGA), lle recours du 6 janvier 2009 a été formé en temps utile, le dernier jour du délai (art. 38 al. 1, 39 al. 1 et 60 al. 2 LPGA). Interje- té dans la forme et le délai prévus par la loi, il est donc recevable, en vertu des art. 56 ss LPGA.</w:t>
      </w:r>
    </w:p>
    <w:p>
      <w:r>
        <w:rPr>
          <w:b/>
        </w:rPr>
        <w:t>E. 4</w:t>
      </w:r>
    </w:p>
    <w:p>
      <w:r>
        <w:t>Le litige porte sur le droit du recourant à une rente entière de l'assurance-invalidité, notamment sur l’appréciation de sa capacité résiduelle de travail. De plus, à la suite de l’annulation de la décision du 3 novembre 2006 par l’arrêt du Tribunal de céans du 1er novembre 2007 (ATAS/1193/2007) et de l’instruction complémentaire mise en œuvre par l’intimé, celui-ci aurait dû, dans sa décision du 18 novembre 2008, statuer formellement sur le droit aux prestations du recourant pour la période du 1er avril 2004 jusqu’au 31 décembre 2008, ce qu’il n’a pas fait. Dans la mesure où l'intimé a, durant cette période, versé une demi-rente à l’assuré et où il ne réclame pas la restitution de la différence entre le quart de rente et la demi-rente effectivement versée, il y a lieu de considérer que, même si elle ne le dit pas formellement, la décision litigieuse octroie implicitement à l’assuré une demi- rente avec effet rétroactif au 1er avril 2004 et prononce ensuite la réduction de cette demi-rente à un quart de rente dès le 1er janvier 2009.</w:t>
      </w:r>
    </w:p>
    <w:p>
      <w:r>
        <w:rPr>
          <w:b/>
        </w:rPr>
        <w:t>E. 5</w:t>
      </w:r>
    </w:p>
    <w:p>
      <w:r>
        <w:t>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w:t>
      </w:r>
    </w:p>
    <w:p>
      <w:r>
        <w:t>A/30/2009 - 8/17 -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A/30/2009 - 9/17 -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1er juin 1994 (ATF 123 V 175 ; cf. également RAMA 1999 n° U 332 p. 193 consid. 2a/bb).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125 V 351 consid. 3b/ee; ATF 123 V 176 consid. 3d et l'arrêt cité; VSI 2001 p. 109 consid. 3b/ee). Dans le cas présent, en mettant en doute l’objectivité des experts au motif que le Dr O________ aurait donné connaissance de son projet de rapport d’expertise avant d’avoir eu connaissance de l’évaluation neurologique, le recourant soulève un motif de récusation des experts. En cette matière,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w:t>
      </w:r>
    </w:p>
    <w:p>
      <w:r>
        <w:t>A/30/2009 - 10/17 - ne mettent en revanche pas en cause son impartialité. De tels motifs doivent en principe être examinés avec la décision sur le fond dans le cadre de l'appréciation des preuves (ATF 132 V 93 consid. 6). L’impartialité subjective se présume jusqu'à preuve du contraire (AUER/MALINVERNI/HOTTELIER, Droit constitutionnel suisse, vol. II : Les droits fondamentaux, 2000, p. 579 ch. 1205) de sorte qu’il ne suffit pas au recourant d'alléguer un risque de manque d’objectivité puisque la jurisprudence exige l’établissement de faits qui justifient objectivement la méfiance. Or, en réalité, le document envoyé par le Dr O________ au Dr Q________ avant l’examen neurologique n’équivaut pas encore à un projet de rapport d’expertise. Ainsi que le Tribunal de céans a pu le constater à la lecture de ce document, ce dernier est constitué du résumé du dossier médical de l’assuré, de l’anamnèse, des plaintes que l’assuré a formulées, des constatations du Dr O________ lors de son examen clinique, des diagnostics qu’il a retenus ainsi que de son appréciation du cas. Il ne s’agit cependant aucunement d’un projet de rapport final. En effet, ledit document ne retient que deux diagnostics - au contraire du rapport final qui en pose six -, il ne contient aucun diagnostic psychiatrique et neurologique - au contraire du rapport final -, il considère comme incapacitant le diagnostic de méralgies paresthésiques de la cuisse gauche - alors que tel n’est pas le cas du rapport final - et il ne comporte aucune conclusion formelle sur la capacité de travail ainsi que sur la réadaptation professionnelle - là encore, contrairement à la version finale. Il ressort donc de la comparaison de ces deux documents que les examens spécialisés pratiqués par les Drs P________ et Q________ ont permis de compléter l’appréciation du Dr O________ et donc de procéder à une évaluation pluridiscipli- naire conforme au but d’une telle expertise. De plus, ainsi que cela découle du préambule du rapport d’expertise, la quantification finale des limitations de la capacité de travail en termes de présence et de rendement a fait l’objet d’un consensus entre les trois experts. Or, selon la jurisprudence, le but de l'expertise pluridisciplinaire est précisément d'obtenir une collaboration entre différents praticiens et d'éviter les contradictions que pourraient entraîner des examens trop spécialisés, menés indépendamment les uns des autres (ATFA non publié I 567/04 du 16 novembre 2005, consid. 5). On ne voit pas en quoi l’envoi par le Dr O________ de son appréciation aux autres experts contreviendrait au but d’une telle expertise pluridisciplinaire et serait un motif suffisant pour conclure au manque d'objectivité et à la partialité des experts. De plus, au regard du déroulement de l'expertise et de son contenu, il n'y a pas lieu de mettre en doute l'impartialité du Dr O________ dont les conclusions divergent de celles de l’expert neurologue, ce qui établit que les experts ont rempli leur mandat avec toute l’indépendance nécessaire. En définitive, le recourant soulève un motif matériel de récusation qui met en cause la crédibilité et le caractère probant de l'expertise et non un motif formel lié à l'impartialité de l'expert (cf. ATFA non publié I 247/04 du 23 mars 2006, consid.</w:t>
      </w:r>
    </w:p>
    <w:p>
      <w:r>
        <w:t>A/30/2009 - 11/17 - 2.1). Par conséquent, ce grief se confond avec la valeur probante du rapport d’expertise dans le cadre de l'appréciation des preuves.</w:t>
      </w:r>
    </w:p>
    <w:p>
      <w:r>
        <w:rPr>
          <w:b/>
        </w:rPr>
        <w:t>E. 8</w:t>
      </w:r>
    </w:p>
    <w:p>
      <w:r>
        <w:t>Dans leur rapport d’expertise du 18 juin 2008, les experts ont diagnostiqué des lombalgies chroniques sur troubles dégénératifs ainsi qu'une polyneuropathie des membres inférieurs toxique et carentielle. S’ils ont également retenu les diagnostics d’éthylo-tabagisme chronique, de méralgies paresthésiques de la cuisse gauche et de troubles mentaux et du comportement liés à l'utilisation d'alcool ainsi que du cannabis, utilisation continue, ils ont également précisé que ces derniers étaient sans répercussion sur la capacité de travail de l’intéressé. Les experts ont préconisé d’éviter le port de charges à partir de 10 kilos, le maintien des positions assise et debout au-delà de 20 à 30 minutes, les activités nécessitant une flexion antérieure ou latérale du tronc, le travail en milieu obscur, en terrain inégal ou instable ou les activités exigeant de l’équilibre. Ils ont conclu à l’absence de limitation du temps de travail dans une activité légère adaptée avec diminution de rendement de 30% et à l’absence d’incapacité de travail dans l'activité de gérant de restaurant, là encore avec une diminution de rendement de 30 %. Ils ont précisé que la motricité fine et grossière et la sensibilité des membres supérieurs était conservée, tout comme les capacités mnésiques. Ils ont expliqué que les troubles mentaux et du comportement liés à l'utilisation d'alcool et de cannabis étaient des affections primaires. Ils ont ajouté qu’il n'y avait pas d'éléments en faveur d'un syndrome somatoforme parce que les douleurs n'étaient pas sévères et étaient par ailleurs tout à fait gérables, même si permanentes au niveau du bas du dos ; la faiblesse musculaire était liée à un état général déficient compliqué par une polyneuropathie prédominant aux membres inférieurs ; elle était discrète et sans aucun rapport avec les troubles sensitifs des deux cuisses ; la polyneuropathie relativement marquée expliquait une partie de la faiblesse - en somme peu importante -des membres inférieurs et une ataxie causée par la polyneuropathie contre-indiquait toute activité sur une échelle ou un échafaudage ; par contre, l’atteinte du nerf fémoro-cutané (méralgies paresthésiques) n'entraînait que des désagréments sensitifs n'affectant pas le plan moteur ; l'importance des troubles mentaux et du comportement liés à l'utilisation de l'alcool et du cannabis n'était pas suffisante pour poser le diagnostic de troubles de la personnalité ; ces éléments ne justifiaient pas une incapacité de travail d'un point de vue psychique ; la toxicomanie semblait se contenir dans des limites raisonnables avec l'absence de perturbation des tests hépatiques pour l'alcool et une utilisation du cannabis plutôt pour des raisons antalgiques, sans jouer de rôle sur la capacité de travail. Les experts ont fait procéder à des analyses sanguines complémentaires. En outre, ils ont rédigé leur rapport après avoir étudié les pièces du dossier, établi une anamnèse détaillée et pris en considération les plaintes du recourant. Ils ont particulièrement pris soin d’expliquer de façon dûment motivée pourquoi ils ne</w:t>
      </w:r>
    </w:p>
    <w:p>
      <w:r>
        <w:t>A/30/2009 - 12/17 - retenaient ni le diagnostic de trouble somatoforme, ni celui de troubles de la personnalité. Ils ont également dûment motivé leur appréciation de la capacité de travail exigible de la part de l'assuré, notamment au regard de l’absence de déficit de force des membres inférieurs à la marche en relation avec la lésion du nerf fémoro-cutané et de l’absence de rôle incapacitant de la toxicomanie. Par conséquent, leur rapport d’expertise remplit toutes les conditions requises par la jurisprudence pour se voir reconnaître pleine valeur probante. Le recourant le conteste au motif que le rapport en question conclut à l’absence d’incapacité de travail dans la profession de gérant de restaurant en contradiction avec d’autres rapports médicaux versés au dossier. Contrairement à ce qu’allègue le recourant, les experts ne concluent pas à l’absence d’incapacité de travail dans l’activité de gérant de restaurant de manière générale mais seulement lorsque cette activité ne nécessite pas le port de charges. Par conséquent, il n’existe pas de contradiction entre cette conclusion et celle des autres médecins en tant que ces derniers n’ont pas apporté une telle distinction dans leurs conclusions. Au demeurant, le simple fait que le recourant serait incapable d'exercer son ancienne profession ne signifie pas encore qu'il est invalide. En effet, l'exigibilité de la mise en valeur de la capacité de travail résiduelle est un aspect de l'incapacité de travail selon l'art. 6 LPGA qui doit être prise en considération lors de l’évaluation de l’invalidité conformément à l'art. 16 LPGA (ATF 132 V 393 consid. 3). A la différence des experts, dans son rapport du 16 mai 2005, le Dr M________ ne s’est pas prononcé sur l’exigibilité d’une capacité résiduelle de travail de sorte que ses conclusions sur ce point sont incomplètes et ne permettent pas de remettre en cause la valeur probante du rapport d’expertise (ATFA non publié I 112/06 du 16 août 2007, consid. 5.3.2). Quant aux conclusions du médecin-traitant relatives à la capacité de travail résiduelle du recourant, le Tribunal de céans a déjà eu l’occasion de souligner dans son arrêt du 1er novembre 2007 (ATAS/1193/2007) qu’elles étaient contradictoires de sorte qu’elles ne permettent pas de se forger une opinion objective à ce sujet d’autant plus que le Dr L_________ lui-même jugeait nécessaire un examen médical complémentaire à ce propos. Par conséquent, elles ne sont pas davantage susceptibles de faire douter de la valeur probante de l’expertise.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w:t>
      </w:r>
    </w:p>
    <w:p>
      <w:r>
        <w:t>A/30/2009 - 13/17 - en cause les conclusions de l'expertise (ATF non publié 9C_480/2008 du 27 janvier 2009, consid. 4). Or, le recourant ne produit aucun rapport médical rendant vraisemblable que les experts auraient omis de prendre en considération certains éléments objectifs. Par conséquent, les conclusions des experts seront suivies par le Tribunal de céans.</w:t>
      </w:r>
    </w:p>
    <w:p>
      <w:r>
        <w:rPr>
          <w:b/>
        </w:rPr>
        <w:t>E. 9</w:t>
      </w:r>
    </w:p>
    <w:p>
      <w:r>
        <w:t>Il convient encore de procéder au calcul du taux d'invalidité.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publiée par l’OFS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10</w:t>
      </w:r>
    </w:p>
    <w:p>
      <w:r>
        <w:t>En application des art. 29 al. 1 let. b et 48 al. 2 LAI, il convient de se placer en 2004 pour procéder à la comparaison des revenus puisque l'incapacité de travail est attestée depuis novembre 2002 et que la demande de prestations datant du 11 avril 2005 est tardive.</w:t>
      </w:r>
    </w:p>
    <w:p>
      <w:r>
        <w:t>A/30/2009 - 14/17 - L’intimé a établi le revenu sans invalidité sur une base statistique au motif que le recourant n’avait pas eu vraiment d’activité professionnelle régulière et soutenue, cette dernière ayant consisté en activités du secteur primaire, secondaire et tertiaire de peu d’importance en durée et en gains de 1965 à 1978 ainsi qu’en 1981. Il convient d’ajouter également qu’il n’est pas possible de se baser sur le dernier revenu de gérant de bar-restaurant obtenu en Thaïlande puisqu’un tel revenu n’a aucune commune mesure avec un salaire suisse ce qui ne permet pas une comparaison des revenus pertinente. A défaut de pouvoir disposer de renseignements concrets et fiables sur le revenu qu’aurait pu réaliser le recourant au moment du début du droit à la rente, il convient, comme l’a fait l’intimé, de se référer aux données salariales ressortant de l’ESS 2004 pour établir tant le revenu sans invalidité que le revenu d’invalide (ATF non publié I 137/04 du 13 janvier 2005, consid. 5.1.2 et 5.1.3). Au vu de l’absence de formation professionnelle du recourant, il faut se baser sur le salaire de référence auquel peuvent prétendre les hommes effectuant des effectuant des activités simples et répétitives dans le secteur privé (niveau de qualification 4), soit selon l’ESS 2004 (Tableau TA1, valeur médiane, tous secteurs confondus, part au 13ème salaire comprise), à savoir un salaire annuel de 55'056 fr. (4'588 x 12). Étant donné que les salaires bruts standardisés se basent sur un horaire de travail de quarante heures, soit une durée hebdomadaire inférieure à la moyenne usuelle dans les entreprises en 2004 (41.6 heures ; statistique de la durée normale du travail dans les entreprises, table T2.5.2), ce salaire hypothétique représente un revenu annuel de 57'258 fr. 25 (55’056 x 41.6 : 40). Il n’y a également rien à redire au revenu d’invalide retenu par l’intimé qui a admis une diminution de rendement de 30 %, soit un revenu de 40'080 fr. 80 (57'258.25 x 70 %), puis a appliqué une réduction maximale de 25 %. Il en résulte un revenu d’invalide de 30’060 fr. 60 (40'080.80 x 75 %), respectivement un degré d’invalidité de 47.5 % (57'258.25 - 30'060.60 : 57'258.25 x 100) ouvrant droit à un quart de rente d’invalidité.</w:t>
      </w:r>
    </w:p>
    <w:p>
      <w:r>
        <w:rPr>
          <w:b/>
        </w:rPr>
        <w:t>E. 11</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ATFA non publié du 28 décembre 2006, I 520/05, consid 3.2). Le principe consacré à l'art. 53 al. 2 LPGA selon lequel l'administration peut en tout temps revenir d'office sur une décision formellement passée en force qui n'a pas</w:t>
      </w:r>
    </w:p>
    <w:p>
      <w:r>
        <w:t>A/30/2009 - 15/17 - donné lieu à un jugement sur le fond, lorsque celle-ci est certainement erronée et que sa rectification revêt une importance appréciable, l'emporte sur la procédure de révision (ATF 130 V 349 s. consid. 3.5). Ainsi, l'administration peut aussi modifier une décision de rente lorsque les conditions de la révision selon l'art. 17 LPGA ne sont pas remplies.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ATF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Notamment, il n'est pas conforme à la loi de déterminer le taux d'invalidité sur une simple évaluation médico-théorique de la capacité de travail car, de ce fait, on ne tiendrait plus compte de l'incidence économique de l'atteinte à la santé (ATF 114 V 281 consid. 1c; ATF non publié 9C_225/2007du 11 mars 2008, consid. 3.3). En cas d'allocation d'une rente dégressive ou temporaire, la date de la modification du droit (diminution ou suppression de la rente) doit être fixée conformément à l'art. 88a al. 1 RAI (ATF 125 V 417 consid. 2d; RCC 1984 p. 137). Selon cette disposition,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il ressort des pièces médicales que la demi-rente d’invalidité a été versée dès le 1er avril 2004 sur la base d’une capacité résiduelle de travail de 50%. Puis, lors de leur examen du recourant en mai 2008, les experts ont retenu une pleine capacité de travail dans une activité adaptée avec diminution de rendement de 30%. La question de savoir s’il s'agit là d'une modification notable des circonstances au sens de l'art. 17 LPGA par rapport à la situation qui prévalait à la naissance du droit à la demi-rente ou s’il s’agit d’une nouvelle appréciation d’un même état de fait peut rester indécise car la demi-rente versée dès le 1er avril 2004 repose de toute façon sur une simple évaluation médico-théorique de la capacité de travail et non sur une comparaison des revenus, contrairement aux exigences de l’art. 16 LPGA. Aussi, le versement de la demi-rente d’invalidité était manifestement erroné au sens de l’art. 53 al. 2 LPGA. Si le juge est le premier à le</w:t>
      </w:r>
    </w:p>
    <w:p>
      <w:r>
        <w:t>A/30/2009 - 16/17 - constater, il peut confirmer, en invoquant ce motif, la décision de révision prise par l'administration (ATF 125 V 369 consid. 2 et les arrêts cités). L'intimé n'ayant pas statué formellement sur le droit à une demi-rente du 1er avril 2004 jusqu’au 31 décembre 2008 bien qu’il a effectivement versé cette rente, il n’y a pas matière à "reformatio in pejus" en défaveur du recourant. Par conséquent, il convient de supprimer la demi-rente basée sur un taux d'invalidité de 50 % dès le 1er janvier 2009, date à laquelle la modification de la capacité de gain du recourant a duré au moins trois mois, sans interruption notable et sans qu'une complication prochaine ne fût à craindre.</w:t>
      </w:r>
    </w:p>
    <w:p>
      <w:r>
        <w:rPr>
          <w:b/>
        </w:rPr>
        <w:t>E. 12</w:t>
      </w:r>
    </w:p>
    <w:p>
      <w:r>
        <w:t>Mal fondé, le recours sera rejeté. Bien que depuis le 1er juillet 2006, la procédure n'est plus gratuite (art. 69 al. 1bis LAI) et que le recourant succombe, il y a toutefois lieu de renoncer au paiement d'un émolument dès lors qu’il est au bénéfice de l’assistance judiciaire, conformément à l’art. 12 al. 1 du règlement sur les frais, émolument et indemnités en procédure administrative du 30 juillet 1986 (RFPA; E 5 10.03).</w:t>
      </w:r>
    </w:p>
    <w:p>
      <w:r>
        <w:t>A/30/2009 - 17/17 -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