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ATAS/952/2009 vom 23. Juli 2009</w:t>
      </w:r>
    </w:p>
    <w:p>
      <w:r>
        <w:t>GE Cour de justice, 2009-07-23, FR</w:t>
      </w:r>
    </w:p>
    <w:p>
      <w:r>
        <w:rPr>
          <w:b/>
        </w:rPr>
        <w:t xml:space="preserve">Quelle: </w:t>
      </w:r>
      <w:r>
        <w:t>https://mcp.opencaselaw.ch/entscheid/ge_gerichte_ATAS_952_2009</w:t>
      </w:r>
    </w:p>
    <w:p>
      <w:r>
        <w:t>FR: GE_GERICHTE ATAS/952/2009 du 23 juillet 2009</w:t>
      </w:r>
    </w:p>
    <w:p>
      <w:r>
        <w:t>IT: GE_GERICHTE ATAS/952/2009 del 23 luglio 2009</w:t>
      </w:r>
    </w:p>
    <w:p>
      <w:pPr>
        <w:pStyle w:val="Heading2"/>
      </w:pPr>
      <w:r>
        <w:t>Erwägungen</w:t>
      </w:r>
    </w:p>
    <w:p>
      <w:r>
        <w:rPr>
          <w:b/>
        </w:rPr>
        <w:t>E. 1</w:t>
      </w:r>
    </w:p>
    <w:p>
      <w:r>
        <w:t>Conformément à l'art. 56V al. 1 let. a ch. 2 de la loi genevoise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A/2226/2008 - 9/15 -</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rPr>
          <w:b/>
        </w:rPr>
        <w:t>E. 3</w:t>
      </w:r>
    </w:p>
    <w:p>
      <w:r>
        <w:t>Le délai de recours est de 30 jours (art. 60 al. 1 LPGA). La décision date du 30 mai 2008 de sorte que le recours du 19 juin 2008 a été formé en temps utile (art. 39 al. 1 et 60 al. 2 LPGA). Interjeté dans la forme et le délai prévus par la loi, le recours est recevable, en vertu des art. 56 et ss LPGA.</w:t>
      </w:r>
    </w:p>
    <w:p>
      <w:r>
        <w:rPr>
          <w:b/>
        </w:rPr>
        <w:t>E. 4</w:t>
      </w:r>
    </w:p>
    <w:p>
      <w:r>
        <w:t>Le litige porte sur le droit de la recourante à une rente entière de l'assurance- invalidité et à des mesures de réadaptation professionnelle, et partant, sur l’évaluation de sa capacité résiduelle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6 LPGA, est réputée in- capacité de travail toute perte, totale ou partielle, de l'aptitude de l'assuré à accom- 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A/2226/2008 - 10/15 -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l'art. 28 al. 2 LAI en corrélation avec les art. 7 et 16 LPGA, la réadaptation a la priorité sur la rente dont l'octroi n'entre en ligne de compte que si une réadaptation suffisante est impossible (ATFA I 552/06 du 13 juin 2007, consid. 3.1). Saisie d'une demande de rente ou appelée à se prononcer à l'occasion d'une révision de celle-ci, l'administration doit donc élucider d'office, avant toute chose, la question de la réintégration de l'assuré dans le circuit économique (ATF 108 V 212 ; ATF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w:t>
      </w:r>
    </w:p>
    <w:p>
      <w:r>
        <w:t>A/2226/2008 - 11/15 -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w:t>
      </w:r>
    </w:p>
    <w:p>
      <w:r>
        <w:t>La recourante demande que lui soient accordées des mesures de reclassement afin d’évaluer concrètement sa capacité de travail, ses possibilités de réinsertion et le type d’activité qu'elle pourrait exercer. En outre, elle allègue avoir droit à une rente entière d’invalidité au motif que sa capacité résiduelle de travail s’élève à une à trois heures par jour, au maximum et que la comparaison des gains conduit à un degré d’invalidité de 70%. Pour sa part, l’intimé considère qu’au vu de l’examen rhumatologique SMR du 4 décembre 2007, la recourante dispose d’une capacité résiduelle de travail entière dans une activité adaptée.</w:t>
      </w:r>
    </w:p>
    <w:p>
      <w:r>
        <w:rPr>
          <w:b/>
        </w:rPr>
        <w:t>E. 9</w:t>
      </w:r>
    </w:p>
    <w:p>
      <w:r>
        <w:t>Au terme de son rapport du 12 février 2008, le Dr P__________ a conclu à une capacité de travail entière dans une activité permettant d’éviter le port de charges au-delà de 10 kilos, le mouvement de flexion-extension répétée, les positions en porte- à-faux, les positions statiques (debout au-delà de 30 minutes et assise au-delà d’une heure) ainsi que les mouvements répétitifs et travaux de force avec le poignet droit. Il a souligné que les lombosciatalgies gauches chroniques revêtaient une composante mécanique, sans syndrome rachidien ni signes de gravité de compression radiculaire. Dans la rubrique « dossier radiologique » et s’agissant du rachis lombaire, le Dr P__________ se réfère à des radiographies du bassin de face pratiquées le 9 septembre 2005 révélant, notamment, une discarthrose avancée L5- S1, un espace très pincé, une ostéophytose bilatérale et une arthrose articulaire postérieure à ce niveau. En revanche, il ne mentionne pas la tomodensitométrie axiale computérisée de la colonne lombaire et sacrée du 13 octobre 2003 dont le rapport du 14 octobre 2003 conclut, notamment, à une protrusion discale circonférentielle L4-L5 sans image d’hernie, ni effet compressif sur les racines et à une discarthrose sévère en L5-S1 avec protrusion discale mais sans image d’hernie, à une arthrose interapophysaire postérieure prédominante en L4-L5 gauche et L5- S1 des deux côtés rétrécissant les trous de conjugaison à prédominance droite. De plus l’IRM lombaire du 5 mai 2008 conclut à une dégénérescence discale L3-L4, L4-L5 avec discarthrose sévère L5-S1, spondylolisthésis de L4 « grade I » sur arthrose interapophysaire postérieure et épaississement des ligaments jaunes appuyant discrètement sur la partie latérale du fourreau dural. Les conclusions du Dr P__________ reposent notamment sur une comparaison entre les plaintes de la recourante et les constatations radio-cliniques objectivables. Or, les documents radiologiques font état d’une protrusion discale L4-L5 ainsi que d’une arthrose interapophysaire postérieure en L4-L5 à gauche et L5-S1 des deux côtés avec rétrécissement des trous de conjugaison qui ne sont nullement</w:t>
      </w:r>
    </w:p>
    <w:p>
      <w:r>
        <w:t>A/2226/2008 - 12/15 - mentionnées dans le rapport d’examen rhumatologique et qui sont pourtant susceptibles d’expliquer une certaine partie des plaintes de la recourante. De plus, le Dr P__________ estime que le syndrome douloureux chronique avec diffusion des symptômes n’est pas incapacitant mais force est de constater d’une part, qu’il motive aucunement ce point de vue et, d’autre part, qu’il n’a pas demandé l’avis d’un psychiatre à ce sujet. Cette conclusion paraît, au demeurant, péremptoire dès lors que la recourante est suivie par un psychiatre depuis septembre 2008 et que ce dernier a posé un diagnostic d’état dépressif sévère, en principe invalidant, et a exprimé l’avis que les problèmes psychiques remontent à deux ans au moins, soit à décembre 2006. Or, bien qu’il ait constaté une discordance entre les plaintes de la recourante et les constatations objectivables, ce qui permettait de suspecter l’existence de troubles psychiques, le Dr P__________ a rédigé son rapport sans demander un consilium à un psychiatre. Il faut en conclure qu’il s’est déterminé sur la base d’un état de fait incomplet sur le plan médical. Au vu de ces diverses lacunes, le rapport du Dr P__________ ne peut se voir reconnaître pleine valeur probante. Au demeurant, il est incompréhensible que le rapport de l’IRM du 5 mai 2008, qui est antérieur à la décision litigieuse et donc fait partie des éléments à prendre en considération dans l’appréciation de l’état de santé de la recourante, n’ait pas ensuite été soumis au Dr P__________ et qu’il n’ait pas été demandé à ce dernier si cela pouvait le conduire à modifier ses conclusions. La prise de position de la Dresse Q__________ du 11 juillet 2008 ne saurait engager l’opinion du Dr P__________ puisqu’elle n’a ni examiné personnellement la recourante, ni participé à un autre titre à l’examen rhumatologique. Par conséquent, l’intimé a également statué sur la base d’un état de fait lacunaire. Les autres rapports médicaux n’ont pas davantage de valeur probante. En effet, le rapport d’expertise du Dr L__________ du 6 septembre 2005 repose sur une prémisse erronée puisqu’il suspecte une oligo-arthrite dans le cadre d’une spondyloarthrite HLA B27 (sacro-iliite bilatérale de stade II), diagnostic qui a été infirmé par des examens complémentaires, ainsi que cela ressort du rapport du Dr M__________ du 11 avril 2006 et de son audition en date du 11 décembre 2008. Par conséquent, l’appréciation de la capacité de travail du Dr L__________ n’est pas probante puisqu’aucun traitement de l’atteinte oligo-articulaire n’était nécessaire. Quant à la Dresse N__________, force est de constater qu’elle n’a pas expliqué les raisons pour lesquelles la capacité résiduelle de travail de la recourante ne serait que de 50% dans une activité ne surchargeant pas le bras. Les divers rapports du Dr M__________ soit admettent que la recourante est apte à travailler à 100 % dans une profession plus légère (17 mars 2006), soit n’évaluent</w:t>
      </w:r>
    </w:p>
    <w:p>
      <w:r>
        <w:t>A/2226/2008 - 13/15 - pas la capacité de travail résiduelle (15 septembre 2006), soit retiennent la capacité résiduelle de travail de 50 % fixée par le maître socio-professionnel sans apporter aucune motivation sur le plan médical (23 mai 2007), soit encore se réfèrent à l’appréciation d’un conseiller en personnel de l’OCE qui n’est pas médecin pour admettre une inaptitude totale à tout placement (27 décembre 2007). Par la suite, lors de son audition du 11 décembre 2008, le médecin traitant a estimé que les troubles dégénératifs sévères ne permettaient pas de conclure à une capacité résiduelle de travail tout en précisant qu’il pourrait envisager une capacité résiduelle à raison d'une à deux heures par jour dans une activité répondant aux limitations fonctionnelles et que la patiente était également limitée dans ses capacités d'apprentissage par son absence de formation et des difficultés linguistiques, soit des facteurs que l’assurance-invalidité n’a pas à prendre en considération. En effet,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consid. 1). Par conséquent, non seulement les appréciations de la capacité résiduelle de travail émanant du médecin traitant ne sont pas pertinentes et pas motivées médicalement, mais en plus elles sont contradictoires. Quant au Dr O__________, il n’explique pas non plus les raisons pour lesquelles il évalue la capacité résiduelle de travail de la recourante à 50% seulement. Enfin, l’appréciation du maître socio-professionnel en tant que telle ne permet de tirer aucune conclusion sur la capacité résiduelle de travail de la recourante. En ef- fet, si les constatations médicales peuvent être complétées par des renseignements d'ordre professionnel, par exemple par un stage dans un centre d'observation professionnel de l'assurance-invalidité, toutefois, ce dernier ne permet pas d’évaluer concrètement dans quelle mesure l’assuré est apte à exercer une activité légère, mais bien d’établir quelles activités entrent concrètement en considération sur la base des renseignements médicaux et compte tenu des aptitudes résiduelles de l'assuré (ATFA non publié I 778/05 du 11 janvier 2007, consid. 6.1).</w:t>
      </w:r>
    </w:p>
    <w:p>
      <w:r>
        <w:rPr>
          <w:b/>
        </w:rPr>
        <w:t>E. 10</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w:t>
      </w:r>
    </w:p>
    <w:p>
      <w:r>
        <w:t>A/2226/2008 - 14/15 -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 procédé à aucun acte d’instruction complet s’agissant des troubles du rachis lombaire de la recourante et n’a pas investigué la question des troubles psychiques qui font pourtant partie des éléments dont il avait à tenir compte dès lors qu’ils existaient vraisemblablement avant le moment où la décision litigieuse a été rendue (ATF 99 V 102) et pourraient avoir une influence dans l’appréciation de l’état de santé de la recourante ainsi que des effets de celui-ci sur sa capacité de travail (ATF non publié 9C_441/2007 du 6 mai 2008, consid. 4.3). Par conséquent, il convient de lui renvoyer le dossier pour instruction complémentaire par la mise en œuvre d’une expertise pluridisciplinaire rhumatologique, neurologique et psychiatrique confiée à des spécialistes externes. Ceux-ci seront chargés de se déterminer sur le début vraisemblable des troubles psychiques et de leur intensité, sur la capacité de travail de la recourante, ainsi que sur la mesure dans laquelle une activité est exigible de sa part, dans quelles conditions et à quel taux.</w:t>
      </w:r>
    </w:p>
    <w:p>
      <w:r>
        <w:rPr>
          <w:b/>
        </w:rPr>
        <w:t>E. 11</w:t>
      </w:r>
    </w:p>
    <w:p>
      <w:r>
        <w:t>Au vu de ce qui précède, le recours sera partiellement admis et la décision du 30 mai 2008 annulée. Le dossier est renvoyé à l’intimé pour instruction complémentaire au sens des considérants. La recourante obtenant gain de cause, une indemnité de 2'500 fr. lui sera accordée à titre de participation à ses frais et dépens. Étant donné que, depuis le 1er juillet 2006, la procédure n'est plus gratuite (art. 69 al. 1bis LAI), au vu du sort du recours, il y a lieu de condamner l'intimé au paiement d'un émolument de 1’000 fr.</w:t>
      </w:r>
    </w:p>
    <w:p>
      <w:r>
        <w:t>A/2226/2008 - 15/15 -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