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ATAS/951/2021 vom 16. September 2021</w:t>
      </w:r>
    </w:p>
    <w:p>
      <w:r>
        <w:t>GE Cour de justice, 2021-09-16, FR</w:t>
      </w:r>
    </w:p>
    <w:p>
      <w:r>
        <w:rPr>
          <w:b/>
        </w:rPr>
        <w:t xml:space="preserve">Quelle: </w:t>
      </w:r>
      <w:r>
        <w:t>https://mcp.opencaselaw.ch/entscheid/ge_gerichte_ATAS_951_2021</w:t>
      </w:r>
    </w:p>
    <w:p>
      <w:r>
        <w:t>FR: GE_GERICHTE ATAS/951/2021 du 16 septembre 2021</w:t>
      </w:r>
    </w:p>
    <w:p>
      <w:r>
        <w:t>IT: GE_GERICHTE ATAS/951/2021 del 16 settembre 2021</w:t>
      </w:r>
    </w:p>
    <w:p>
      <w:pPr>
        <w:pStyle w:val="Heading2"/>
      </w:pPr>
      <w:r>
        <w:t>Erwägungen</w:t>
      </w:r>
    </w:p>
    <w:p>
      <w:r>
        <w:rPr>
          <w:b/>
        </w:rPr>
        <w:t>E. 12</w:t>
      </w:r>
    </w:p>
    <w:p>
      <w:r>
        <w:t>Dans sa réponse du 22 février 2021, le SPC a maintenu sa motivation selon laquelle la recourante avait violé son obligation de renseigner ledit service sur sa situation financière. Elle avait notamment dissimulé l’existence de son bien immobilier dans sa demande de prestations complémentaires du 20 juin 2014, en indiquant le terme « néant », puis, en date du 15 juillet 2014, avait expressément déclaré ne pas posséder de biens immobiliers à l’étranger, en remplissant le formulaire de déclaration des biens immobiliers. Elle n’avait pas non plus réagi au courrier qui lui avait été expédié, chaque année, lui rappelant son obligation d’annoncer tout changement dans sa situation personnelle, ni aux décisions reçues régulièrement, alors qu’elles reflétaient une situation financière inexacte. Le fait d’avoir annoncé son bien immobilier à l’administration fiscale cantonale, en 2018, ne l’exonérait pas de déclarer ce bien au SPC. Par ailleurs, le seuil maximal de fortune de CHF 100'000.- évoqué par la recourante dans ses écritures de recours, sur la base de l’article 9a LPC, n’était entré en vigueur qu’à partir du 1er janvier 2021. Enfin, le SPC ajoutait que ses calculs avaient été très favorables à la recourante, dès lors qu’il s’était fondé sur la valeur vénale du bien, au moment de son acquisition, le 3 juin 2005, à savoir EUR 121'960.- en lieu et place de la valeur vénale du bien au moment de sa vente, le 26 septembre 2019, à savoir EUR 230'000.-.</w:t>
      </w:r>
    </w:p>
    <w:p>
      <w:r>
        <w:rPr>
          <w:b/>
        </w:rPr>
        <w:t>E. 13</w:t>
      </w:r>
    </w:p>
    <w:p>
      <w:r>
        <w:t>Par réplique du 12 mars 2021, le conseil de la recourante a persisté dans ses conclusions, répétant que la recourante avait considéré de bonne foi qu’elle n’avait</w:t>
      </w:r>
    </w:p>
    <w:p>
      <w:r>
        <w:t>A/262/2021 - 5/18 - pas à déclarer en 2014 et les années qui ont suivi, l’acquisition de son petit chalet, compte tenu de sa faible valeur et du fait qu’elle ne le louait pas.</w:t>
      </w:r>
    </w:p>
    <w:p>
      <w:r>
        <w:rPr>
          <w:b/>
        </w:rPr>
        <w:t>E. 14</w:t>
      </w:r>
    </w:p>
    <w:p>
      <w:r>
        <w:t>Par ailleurs et dans les mêmes écritures du 12 mars 2021, le conseil de la recourante a déposé une demande de mesures provisionnelles visant à ce que la chambre de céans ordonnât à la BCG la levée du séquestre du compte bancaire numéro 1______, ouvert dans ses livres, au nom de la recourante, au motif que la situation financière de cette dernière était particulièrement obérée.</w:t>
      </w:r>
    </w:p>
    <w:p>
      <w:r>
        <w:rPr>
          <w:b/>
        </w:rPr>
        <w:t>E. 15</w:t>
      </w:r>
    </w:p>
    <w:p>
      <w:r>
        <w:t>Par réplique du 24 mars 2021, le SPC a confirmé sa position déjà exprimée dans les précédentes écritures.</w:t>
      </w:r>
    </w:p>
    <w:p>
      <w:r>
        <w:rPr>
          <w:b/>
        </w:rPr>
        <w:t>E. 16</w:t>
      </w:r>
    </w:p>
    <w:p>
      <w:r>
        <w:t>En date du 13 août 2021, la chambre de céans a rejeté la demande de mesures provisionnelles, notamment en raison du fait que le pronostic relatif à l’issue de la cause, quant au remboursement des prestations versées, apparaissait particulièrement incertain.</w:t>
      </w:r>
    </w:p>
    <w:p>
      <w:r>
        <w:rPr>
          <w:b/>
        </w:rPr>
        <w:t>E. 17</w:t>
      </w:r>
    </w:p>
    <w:p>
      <w:r>
        <w:t>La cause a été gardée à juger sur le fond.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 art. 43 LPCC). 3. Le litige porte sur la question de savoir si c'est à juste titre que l'intimé a requis de la recourante la restitution des prestations complémentaires au titre d’un bien immobilier non pris en compte. 4.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5. Dans la mesure où la décision litigieuse, datée du 10 décembre 2020, concerne le droit aux prestations complémentaires pour les années 2014 à 2019 soit sur une période antérieure à l’entrée en vigueur, le 1er janvier 2021, des modifications des</w:t>
      </w:r>
    </w:p>
    <w:p>
      <w:r>
        <w:t>A/262/2021 - 6/18 -</w:t>
      </w:r>
    </w:p>
    <w:p>
      <w:r>
        <w:rPr>
          <w:b/>
        </w:rPr>
        <w:t>E. 22</w:t>
      </w:r>
    </w:p>
    <w:p>
      <w:r>
        <w:t>mars, 20 décembre 2019 et 14 octobre 2020, le présent litige est soumis à l’ancien droit, en l’absence de dispositions transitoires prévoyant une application rétroactive du nouveau droit. Les dispositions légales seront donc citées, ci-après, dans leur teneur en vigueur jusqu’au 31 décembre 2020. 6.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 al. 1 LPGA). S'agissant des prestations complémentaires cantonales, l'art. 43 LPCC ouvre les mêmes voies de droit. 7. 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personnes seules CHF 19'050.- en 2012, CHF 19'210.- en 2013 et 2014, CHF 19'290.- en 2015, 2016, 2017 et 2018 et CHF 19'450.- dès 2019 (let. a ch. 1). Selon l'art. 11 al. 1 LPC, les revenus déterminants comprennent notamment le produit de la fortune mobilière et immobilière (let. b) ; un quinzième de la fortune nette, un dixième pour les bénéficiaires de rentes de vieillesse, dans la mesure où elle dépasse CHF 37'500.- pour les personnes seules (let. c, 1ère phrase) ; et les ressources et parts de fortune dont un ayant droit s'est dessaisi (let. g).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w:t>
      </w:r>
    </w:p>
    <w:p>
      <w:r>
        <w:t>A/262/2021 - 7/18 -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8. a. Selon l'art. 25 al. 1, 1ère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A/262/2021 - 8/18 - 9. 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Si la créance naît d'un acte punissable pour lequel le droit pénal prévoit un délai de prescription plus long, celui-ci est déterminant.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c.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d. Dans le domaine des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w:t>
      </w:r>
    </w:p>
    <w:p>
      <w:r>
        <w:t>A/262/2021 - 9/18 -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w:t>
      </w:r>
    </w:p>
    <w:p>
      <w:r>
        <w:t>A/262/2021 - 10/18 -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Selon la jurisprudence du Tribunal fédéral,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f. Selon l'art. 97 al. 1 CP, dans sa teneur en vigueur depuis le 1er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w:t>
      </w:r>
    </w:p>
    <w:p>
      <w:r>
        <w:t>A/262/2021 - 11/18 - g. Lorsque le délai de prescription de plus longue durée prévu par le droit pénal s'applique, le point de savoir si l'administration a agi dans le délai relatif d'une année peut rester ouvert (cf. arrêt du Tribunal fédéral 9C_400/2016 du 2 novembre 2016 consid. 4.1 et 5.2). 10. a. Par fortune au sens de l'art. 11 al. 1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 b. La fortune doit être évaluée selon les règles de la législation sur l'impôt cantonal direct du canton du domicile (art. 17 al. 1 OPC-AVS/AI). Sont pris en compte en règle générale les revenus déterminants obtenus au cours de l'année civile précédente et l'état de la fortune le 1er janvier de l'année pour laquelle la prestation est servie (art. 23 OPC-AVS/AI al. 1). c. Lorsque des immeubles ne servent pas d'habitation au requérant ou à une personne comprise dans le calcul de la prestation complémentaire, ils seront pris en compte à la valeur vénale (art. 17 al. 4 OPC). d. Selon les directives de l’office fédéral des assurances sociales (ci-après : OFAS) concernant les prestations complémentaires à l'AVS et à l'AI (ci-après : DPC), dans leur version mise à jour au 6 décembre 2019, pour les immeubles sis à l’étranger, on peut se fonder sur une estimation établie à l’étranger s’il n’est pas raisonnablement possible de procéder à une autre estimation (ch. 3444.03).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ATFA non publié P 29/02 du 10 décembre 2002 consid. 1). 11.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A/262/2021 - 12/18 -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En l'espèce, le conseil de la recourante conteste que celle-ci a dissimulé le bien immobilier situé au France, alléguant dans sa réplique que sa mandante « pensait sincèrement de bonne foi qu’elle n’avait pas à déclarer, en 2014 et les années qui suivirent, l’acquisition de son petit chalet compte tenu de sa faible valeur et du fait qu’elle ne le louait pas ». La recourante a été, chaque année, rendue attentive à son obligation d’annoncer à l’intimé tout changement intervenant dans sa situation économique, notamment en lui demandant de contrôler les montants pris en compte dans les calculs annuels figurant dans ses décisions. Elle a, de plus, rempli de manière erronée, la déclaration de biens immobiliers de 2014, en ne mentionnant pas l’immeuble dont elle était propriétaire. La recourante était tenue d'informer l'intimé de l’existence du bien immobilier à l’étranger dont elle ne pouvait ignorer - le chalet ayant été acquis pour le montant de EUR 121'960.- le 3 juin 2005, soit l’équivalent de CHF 186'598.- (taux de change retenu pour juin 2005 : EUR 1.- = CHF 1.53, selon le cours de la Banque centrale européenne) - que le montant de cette fortune immobilière aurait vraisemblablement une incidence sur le calcul de ses prestations complémentaires, tant fédérales que cantonales. En date du 13 mars 2018, la société fiduciaire mandatée par la recourante a annoncé à l’administration fiscale cantonale (ci-après : AFC) l’existence du bien immobilier sis en France, ainsi que les relations bancaires y relatives, et ceci en vue de « régulariser sa situation administrative ». La recourante tire argument de cette déclaration pour alléguer qu’elle partait de l’idée que son dossier auprès du SPC était à jour, suite à sa déclaration à l’AFC en 2018, car elle croyait, « de bonne foi que sa dénonciation était valable pour toutes les institutions administratives et qu’une entraide administrative automatique prévalait dans ce domaine ». En cas d'incompréhension, elle avait la possibilité de solliciter l'aide et les conseils d'un représentant d'un organisme social afin de contrôler l'adéquation des décisions</w:t>
      </w:r>
    </w:p>
    <w:p>
      <w:r>
        <w:t>A/262/2021 - 13/18 - reçues chaque année avec sa situation réelle (cf. arrêt du Tribunal fédéral 8C_297/2008 du 23 septembre 2008), ce qu'elle n’a pas fait. La recourante aurait dû considérer, dans le doute, qu’il valait mieux annoncer l’existence de son chalet au SPC, même si une entraide administrative était automatique dans son esprit, plutôt que de courir le risque de violer ses obligations légales d’information spontanée au SPC. Étant précisé que même en suivant l’hypothèse de la recourante selon laquelle elle pensait que l’AFC allait communiquer automatiquement l’existence du bien immobilier au SPC, la recourante aurait dû se rendre compte, au plus tard en prenant connaissance du plan de calcul du SPC du 13 décembre 2018, que le bien immobilier annoncé à l’AFC le 13 mars 2018 n’avait pas été pris en compte par le SPC. Le conseil de la recourante allègue encore que, compte tenu de la faible valeur du bien retenue par l’AFC pour le bien immobilier, celui-ci ne dépassait pas le seuil de fortune fixé à CHF 100'000.- par la LPC et la recourante pensait donc qu’il ne devait pas faire l’objet d’une déclaration. Selon l’art. 17 al. 4 LPC, applicable ratione temporis, lorsque des immeubles ne servent pas d’habitation au requérant ou à une personne comprise dans le calcul de la prestation complémentaire, ils seront pris en compte à la valeur vénale. S’agissant d’un immeuble situé à l’étranger et ne servant pas d’habitation à la recourante, la valeur du bien retenue en 2018 par l’AFC ne lie pas le SPC. Par ailleurs, il est peu crédible que la recourante se soit fondée, en 2018, pour considérer la valeur vénale du bien et son obligation de déclarer, sur l’art. 9a al. 1 let. a LPC qui stipule que les personnes dont la fortune nette est inférieure CHF 100'000.- pour une personne seule ont droit à des prestations complémentaires, alors que ladite disposition a été adoptée postérieurement et n’est entrée en vigueur que le 1er janvier 2021. En ne remplissant pas son obligation de renseigner, alors même qu'elle lui avait été rappelée annuellement, la recourante a réalisé l’infraction prévue à l’art. 31 al. 1 let. a et d LPC. La chambre de céans considère qu’il est établi au degré de la vraisemblance prépondérante que la recourante a cherché à dissimuler l’existence du bien immobilier en France. Compte tenu de ce qui précède, il y a lieu de retenir une violation de l’obligation de renseigner l’intimé, ce qui justifie d’appliquer le délai de prescription de l’action pénale pour une infraction telle que décrite par l’art. 31 LPC, soit un délai de sept ans. 13. Reste à déterminer la valeur du chalet prise en compte dans la fortune de la recourante.</w:t>
      </w:r>
    </w:p>
    <w:p>
      <w:r>
        <w:t>A/262/2021 - 14/18 - À teneur de l'art. 11 al. 1 LPC, il y a lieu de tenir compte de la fortune dans le calcul des revenus déterminants. Selon l’al. 4 du même article, les immeubles font partie de la fortune et doivent être pris en compte au montant de leur valeur vénale, étant précisé que lorsque l’immeuble est sis à l’étranger, on peut se fonder sur une expertise locale. Comme cela a été vu supra, lorsque des immeubles ne servent pas d’habitation au requérant ou à une personne comprise dans le calcul de la prestation complémentaire, ils seront pris en compte à la valeur vénale. En l’espèce, la recourante n’habite pas le chalet situé en France, il convient donc d’examiner de quelle façon l’intimé a procédé à l’estimation de la valeur vénale du bien. Selon le ch. 3444.03 deuxième phrase DPC, pour les immeubles sis à l’étranger, on peut se fonder sur une estimation établie à l’étranger s’il n’est pas raisonnablement possible de procéder à une autre estimation. La valeur du bien immobilier n’a pas fait l’objet d’une expertise locale. Ce nonobstant, l’estimation retenue par le SPC est - comme le souligne l’intimé - très favorable à la recourante, dès lors que la valeur du bien immobilier dans la fortune de la recourante a été fixée par le SPC à hauteur de la contre-valeur en CHF du prix d’achat en 2005 soit EUR 121'960.-, alors que la valeur vénale du bien s’est appréciée au fil du temps, comme l’établit son prix de revente de EUR 230'000.- en septembre 2019. Étant précisé que la hausse de valeur des biens immobiliers en France a été partiellement corrigée par la dépréciation progressive, à partir de l’année 2010, du cours de l’EUR par rapport au CHF. Compte tenu de ce qui précède et de la marge d’appréciation dont dispose le SPC selon les DPC, la chambre de céans est d’avis que le principe appliqué par le SPC de retenir comme valeur d’estimation la valeur d’achat du bien en 2005, est pragmatique et raisonnable, tout en étant avantageux pour la recourante. 14. Le conseil de la recourante critique les valeurs de la fortune immobilière retenues par le SPC, dans les plans de calcul pour la période allant du 1er juin 2014 au 31 décembre 2019, soit : 2014 : fortune immobilière par CHF 149'718.10, produit par CHF 6'737.30 ; 2015: fortune immobilière par CHF 146'644.70, produit par CHF 6'599.- ; 2016: fortune immobilière par CHF 132'143.65, produit par CHF 5'496.45 ; 2017: fortune immobilière par CHF 130'972.85, produit par CHF 5'893.75 ; 2018 : fortune immobilière par CHF 142'717.60, produit par CHF 6'422.30 ; 2019 : fortune immobilière par CHF 136'924.50, produit par CHF 6'161.60.</w:t>
      </w:r>
    </w:p>
    <w:p>
      <w:r>
        <w:t>A/262/2021 - 15/18 - La recourante reproche à l’intimé de n’avoir pas repris le montant correspondant à l’estimation de l’AFC et d’avoir « retenu des chiffres erronés en leur faisant subir une évolution fantaisiste », sans toutefois fournir d’autres explications. Comme cela a été examiné supra, le SPC n’est pas lié par l’estimation fiscale ; sur ce point, déjà, le raisonnement du conseil de la recourante est erroné. Reste à examiner l’exactitude des montants retenus par le SPC pour chacune des années. La chambre de céans a eu l’occasion de préciser, notamment dans un arrêt du 21 février 2017 consid. 9d (ATAS/131/2017), que pour calculer le taux de conversion applicable pour le calcul de la fortune immobilière et de la valeur locative y relative, il y a lieu d’appliquer les DPC (mutatis mutandis). Le ch. 3452.01 précise que pour les rentes et pensions qui sont versées en devises d’États parties à l’accord sur la libre circulation des personnes CH-UE ou à la Convention AELE, le cours de conversion applicable est le cours du jour publié par la Banque centrale européenne (ci-après : BCE). Est déterminant le premier cours du jour disponible du mois qui précède immédiatement le début du droit à la prestation. S'agissant du produit d'un immeuble situé à l'étranger, si aucun produit ne peut être établi, un taux de 4.5% de la valeur vénale retenu à titre de valeur locative ou de rendement de l'immeuble n'est pas excessif (arrêt du Tribunal fédéral des assurances P 57/05 du 29 août 2006). En outre, il convient de tenir compte d'un montant à titre de frais d'entretien de l'immeuble correspondant à 20% de la valeur locative si l'immeuble date de plus de vingt ans (art. 10 al 3 let. b LPC ; art. 16 OPC-AVS-AI ; art. 2 de l'ordonnance sur la déduction des frais relatifs aux immeubles privés dans le cadre de l'impôt fédéral direct) ; les frais effectifs ne peuvent être retenus (RCC 1987 328). En l’espèce, le bien a été acheté en 2005 pour un montant de EUR 121'960.-. Pour 2014, la fortune immobilière est estimée à CHF 149'718.10 et le produit à CHF 6'737.30 ;  Le montant de CHF 149’718.10 correspond à EUR 121'960.- avec un taux de conversion EUR/CHF de 1.227 (cours BCE 30.05.2014) ;  Le montant de CHF 6'737.30 correspond à 4.5% de CHF 149'718.10 ;  Un montant de CHF 1’347.45 a été déduit, correspondant à l’entretien du bâtiment ce qui représente bien 20% de CHF 6'737.30.  Toutefois, le SPC n’a pas tenu compte du fait que le produit ne devait être calculé qu’à partir du mois de juin jusqu’à décembre 2014. Il convient donc d’appliquer une fraction de 7/12ème au montant du produit, ce qui totalise CHF 3'930.- en lieu et place de CHF 6'737.30.</w:t>
      </w:r>
    </w:p>
    <w:p>
      <w:r>
        <w:t>A/262/2021 - 16/18 -  De même, il convient de prendre en compte 20% de ce montant à titre de déduction pour les frais d’entretien, soit CHF 786.-. Pour 2015, la fortune immobilière est estimée à CHF 146'644.70 et le produit à CHF 6'599.- ;  Le montant de CHF 146'644.70 correspond à EUR 121'960.- avec un taux de conversion EUR/CHF de 1.202 (cours BCE 31.12.2014) ;  Le montant de CHF 6'599.- correspond à 4.5% de CHF 146'644.70 ;  Un montant de CHF 1'319.80 a été déduit, correspondant à l’entretien du bâtiment ce qui représente bien 20% de CHF 6'599.-. Pour 2016, la fortune immobilière est estimée à CHF 132'143.65 et le produit à CHF 5'496.45.- ;  Le montant de CHF 132'143.65 correspond à EUR 121'960.- avec un taux de conversion EUR/CHF de 1.083 (cours BCE 31.12.2015) ;  Le montant de CHF 5'496.45 correspond à 4.5% de CHF 132'143.65 ;  Un montant de CHF 1'189.30 a été déduit, correspondant à l’entretien du bâtiment ce qui représente bien 20% de CHF 5'496.45. Pour 2017, la fortune immobilière est estimée à CHF 130'972.85 et le produit à CHF 5'893.75.- ;  Le montant de CHF 130'972.85 correspond à EUR 121'960.- avec un taux de conversion EUR/CHF de 1.073 (cours BCE 30.12.2016) ;  Le montant de CHF 5'893.75 correspond à 4.5% de CHF 130'972.85 ;  Un montant de CHF 1'178.75 a été déduit, correspondant à l’entretien du bâtiment ce qui représente bien 20% de CHF 5'893.75. Pour 2018, la fortune immobilière est estimée à CHF 142'717.60 et le produit à CHF 6'422.30.- ;  Le montant de CHF 142'717.60 correspond à EUR 121'960.- avec un taux de conversion EUR/CHF de 1.17 (cours BCE 29.12.2018) ;  Le montant de CHF 6'422.30 correspond à 4.5% de CHF 142'717.60 ;  Un montant de CHF 1'284.45 a été déduit, correspondant à l’entretien du bâtiment ce qui représente bien 20% de CHF 6'422.30. Pour 2019, la fortune immobilière est estimée à CHF 136'924.50 et le produit à CHF 6'161.60.- ;  Le montant de CHF 136'924.50 correspond à EUR 121'960.- avec un taux de conversion EUR/CHF de 1.122 ;</w:t>
      </w:r>
    </w:p>
    <w:p>
      <w:r>
        <w:t>A/262/2021 - 17/18 -  Or, ce taux de change est inexact le taux étant de 1,127 (cours BCE 31.12.2018), ce qui aboutit à un montant de CHF 137'449.- en lieu et place de CHF 136'924.50 ;  Dès lors, c’est un montant de CHF 6'185.20 qui correspond à 4.5% de CHF 137'449.- ;  Et c’est un montant de CHF 1'237.05 qui doit être déduit, correspondant à l’entretien du bâtiment, ce qui représente bien 20% de CHF 6'185.20.  De surcroît, comme pour l’année 2014, le SPC n’a pas tenu compte du fait que le produit ne devait être calculé que jusqu’au mois de septembre 2019 (vente du chalet). Il convient donc d’appliquer une fraction de 9/12ème au montant du produit, ce qui totalise CHF 4'638.90 en lieu et place de CHF 6’185.20.  De même, il convient de prendre en compte 20% de ce montant à titre de déduction pour les frais d’entretien, soit CHF 927.80. Il appartiendra au SPC de prendre en compte les corrections mentionnées supra, pour les années 2014 et 2019 et de procéder à un nouveau calcul. Une fois qu’il aura procédé à un nouveau calcul des prestations complémentaires pour la période allant du 1er juin 2014 au 31 décembre 2019, le SPC devra actualiser le montant dont la restitution est demandée au recourant, étant précisé qu’en raison de la diminution de la fortune et des revenus, le montant dont la restitution est réclamée devrait être inférieur à CHF 94'568.60. Compte tenu de ce qui précède, le recours sera partiellement admis, la décision du 10 décembre 2020 annulée et la cause renvoyée au SPC pour rendre une nouvelle décision au sens des considérants. 15. La recourante obtenant partiellement gain de cause et étant assistée d’un mandataire professionnel, un montant de CHF 1’500.- lui sera alloué à titre de dépens, étant précisé que ce montant est fixé en tenant compte du fait que la recourante n’obtient que partiellement gain de cause et s’est contentée de déclarer que les montants retenus par le SPC étaient fantaisistes, sans en motiver les raisons et sans souligner les différences de calcul. 16. Pour le surplus, la procédure est gratuite.</w:t>
      </w:r>
    </w:p>
    <w:p>
      <w:r>
        <w:t>A/262/2021 - 18/18 -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