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ATAS/951/2017 vom 25. Oktober 2017</w:t>
      </w:r>
    </w:p>
    <w:p>
      <w:r>
        <w:t>GE Cour de justice, 2017-10-25, FR</w:t>
      </w:r>
    </w:p>
    <w:p>
      <w:r>
        <w:rPr>
          <w:b/>
        </w:rPr>
        <w:t xml:space="preserve">Quelle: </w:t>
      </w:r>
      <w:r>
        <w:t>https://mcp.opencaselaw.ch/entscheid/ge_gerichte_ATAS_951_2017</w:t>
      </w:r>
    </w:p>
    <w:p>
      <w:r>
        <w:t>FR: GE_GERICHTE ATAS/951/2017 du 25 octobre 2017</w:t>
      </w:r>
    </w:p>
    <w:p>
      <w:r>
        <w:t>IT: GE_GERICHTE ATAS/951/2017 del 25 ottobre 2017</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w:t>
      </w:r>
    </w:p>
    <w:p>
      <w:r>
        <w:t>A/389/2017 5/7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w:t>
      </w:r>
    </w:p>
    <w:p>
      <w:r>
        <w:rPr>
          <w:b/>
        </w:rPr>
        <w:t>E. 2</w:t>
      </w:r>
    </w:p>
    <w:p>
      <w:r>
        <w:t>L'art. 25a de la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dispositions des art. 122-124 CC ne concernent que la prévoyance professionnelle (2ème pilier), à l'exclusion du premier et du troisième piliers (ATF 129 III 257 consid. 3.2 et les références). Il s'agit donc de savoir si l'on a affaire à une institution visant à assurer des prestations aux employés en cas de retraite, décès ou invalidité au sens de l'art. 1 LFLP (arrêt du Tribunal fédéral 5A_83/2008 du 28 avril 2008).</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 demandeur. Les dates</w:t>
      </w:r>
    </w:p>
    <w:p>
      <w:r>
        <w:t>A/389/2017 6/7 pertinentes sont, d’une part, celle du mariage, le 19 septembre 2017, d’autre part le 3 février 2015, date à laquelle le principe divorce est devenu exécutoire.</w:t>
      </w:r>
    </w:p>
    <w:p>
      <w:r>
        <w:rPr>
          <w:b/>
        </w:rPr>
        <w:t>E. 6</w:t>
      </w:r>
    </w:p>
    <w:p>
      <w:r>
        <w:t>Selon les documents produits, la prestation acquise pendant le mariage par le demandeur est de CHF 157'100.15, y compris les intérêts qui ont été calculés par les institutions de prévoyance concernées. Il n'y a pas lieu d'ajouter à ce montant, ceux du capital de retraite et de l'assurance vie dont le demandeur dispose en Grande-Bretagne, lesquels ne sont pas sujets au partage prévu par l'art. 122 CC, étant précisé que le juge de première instance en a tenu compte dans le cadre de la liquidation du régime matrimonial (p. 12 du jugement). En conséquence, peu importe où se trouvent aujourd'hui ces avoirs. La demanderesse n'ayant pas cotisé à une institution de prévoyance en Suisse pendant la vie conjugale commune, elle ne dispose pas d'une prestation de sortie sujette à partage. Ainsi, le demandeur doit à son ex-épouse le montant de CHF 78'550.10 (CHF 157'100.15 : 2). Ce montant sera versé sur le compte de la demanderesse auprès de Bank of Ireland, conformément à sa demande, étant précisé que selon l'art. 5 al. 1 let. a LFLP, l'assuré peut exiger le paiement en espèces de la prestation de sortie lorsqu'il quitte définitivement la Suisse.</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A/389/2017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