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ATAS/950/2019 vom 21. Oktober 2019</w:t>
      </w:r>
    </w:p>
    <w:p>
      <w:r>
        <w:t>GE Cour de justice, 2019-10-21, FR</w:t>
      </w:r>
    </w:p>
    <w:p>
      <w:r>
        <w:rPr>
          <w:b/>
        </w:rPr>
        <w:t xml:space="preserve">Quelle: </w:t>
      </w:r>
      <w:r>
        <w:t>https://mcp.opencaselaw.ch/entscheid/ge_gerichte_ATAS_950_2019</w:t>
      </w:r>
    </w:p>
    <w:p>
      <w:r>
        <w:t>FR: GE_GERICHTE ATAS/950/2019 du 21 octobre 2019</w:t>
      </w:r>
    </w:p>
    <w:p>
      <w:r>
        <w:t>IT: GE_GERICHTE ATAS/950/2019 del 21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w:t>
      </w:r>
    </w:p>
    <w:p>
      <w:r>
        <w:t>A/941/2018 - 13/22 - forme et le délai prévus par la loi, le recours est recevable (art. 56ss LPGA et 62ss LPA).</w:t>
      </w:r>
    </w:p>
    <w:p>
      <w:r>
        <w:rPr>
          <w:b/>
        </w:rPr>
        <w:t>E. 4</w:t>
      </w:r>
    </w:p>
    <w:p>
      <w:r>
        <w:t>Le litige porte sur le point de savoir si l’intimé était fondé à rejeter la nouvelle demande de prestations du recourant, singulièrement, s’il existe une aggravation de son état de santé entre le 20 janvier 2015 et le 14 février 2018, dates auxquelles l’intimé a rejeté la première, respectivement la seconde demande de prestations d’assurance-invalidité du recourant.</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b. Le fait que l’administration procède d’elle-même à des investigations supplémentaires ne signifie pas encore qu’elle soit entrée en matière (cf. parmi d’autres les arrêts du Tribunal 8C_531/2013 du 10 juin 2014 consid. 4.2.4 et 8C_844/2012 du 5 juin 2013 consid. 2.1 et les références). En revanche, dans un arrêt du 14 juin 2017, le Tribunal fédéral a considéré que lorsque l’administration souhaite connaître l’avis du SMR quant à l’existence d’une éventuelle péjoration</w:t>
      </w:r>
    </w:p>
    <w:p>
      <w:r>
        <w:t>A/941/2018 - 14/22 - mais que celui-ci estime ne pas être en mesure de se prononcer sur la base des documents déposés à l’appui de la nouvelle demande de prestations et entend encore obtenir des précisions de la part des médecins traitants, il fait clairement état de doutes quant au caractère plausible d’une détérioration de la situation. Cependant si le SMR recommande néanmoins de poursuivre l’instruction de la cause en recueillant les avis des différents médecins traitants sur la base desquels il admet ensuite de façon explicite qu’il y pas de modification de l’état de santé, il s’agit d’une conclusion qui porte sur l’existence – en soi – de l’aggravation et non sur sa plausibilité (arrêt du Tribunal fédéral 9C_127/2017 du 14 juin 2017 consid. 3.3). c. En l’espèce, le SMR a demandé des précisions à la Dresse I______ en date du 11 octobre 2016. Quant à l’intimé, il a adressé, le 10 avril 2017, un formulaire de rapport médical intermédiaire au Dr F______, invitant ce dernier à « actualiser le dossier depuis juillet 2016 [sic] », ce qui correspond à une comparaison avec la situation telle qu’elle se présentait à la suite du dépôt de la nouvelle demande de prestations en juin 2016 – mais non avec celle qui prévalait au moment de la décision de refus de prestations du 20 janvier 2015. C’est dans ce cadre précis que le Dr F______ a rendu son rapport intermédiaire du 28 avril 2017, sur la base duquel la Dresse K______, médecin SMR, a conclu par avis du 2 novembre 2017 que les éléments mis à sa disposition ne rendaient « pas plausible » une aggravation de l’état de santé du recourant depuis l’avis SMR du 9 janvier 2015 – sur lequel l’intimé s’était fondé pour sceller le sort de la première demande de prestations, déposée le 27 septembre 2013. Dans ce même avis du 2 novembre 2017, la Dresse K______ n’en a pas moins conclu expressément que la capacité de travail était toujours de 100 % dans l’activité habituelle « d’ouvrier en horlogerie » (sic) comme dans toute activité adaptée. Or, force est de constater qu’en prenant cette dernière conclusion, ce médecin SMR s’est prononcé à tout le moins indirectement sur l’aggravation en soi par la négative et ne s’est donc pas contenté d’en réfuter le caractère plausible. Quant à la décision entreprise, elle reprend certes à son compte l’affirmation selon laquelle l’aggravation de la situation médicale n’aurait pas été rendue plausible. Cependant, elle ne prend pas pour autant la forme d’une décision de refus d’entrée en matière mais tire les conséquences du maintien d’une pleine capacité de travail dans toute activité professionnelle, non seulement en s’intitulant « Décision [à la ligne] Refus de rente d’invalidité et de mesures professionnelles », mais aussi en rappelant dans la motivation invoquée que le SMR considère que le recourant présente une pleine capacité de travail dans toute activité professionnelle. Par conséquent, l’intimé est entré en matière sur la nouvelle demande de prestations. Au demeurant, le bien-fondé d’une telle interprétation de l’acte attaqué a été confirmé par l’intimé lors de son audition par la chambre de céans le 28 janvier 2019.</w:t>
      </w:r>
    </w:p>
    <w:p>
      <w:r>
        <w:rPr>
          <w:b/>
        </w:rPr>
        <w:t>E. 6</w:t>
      </w:r>
    </w:p>
    <w:p>
      <w:r>
        <w:t>Lorsque l'administration entre en matière sur une nouvelle demande de prestations, elle doit examiner la cause au plan matériel – soit en instruire tous les aspects</w:t>
      </w:r>
    </w:p>
    <w:p>
      <w:r>
        <w:t>A/941/2018 - 15/22 -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9C_412/2010 du 22 février 2011 consid. 3).</w:t>
      </w:r>
    </w:p>
    <w:p>
      <w:r>
        <w:rPr>
          <w:b/>
        </w:rPr>
        <w:t>E. 7</w:t>
      </w:r>
    </w:p>
    <w:p>
      <w:r>
        <w:t>a.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w:t>
      </w:r>
    </w:p>
    <w:p>
      <w:r>
        <w:t>A/941/2018 - 16/22 -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w:t>
      </w:r>
    </w:p>
    <w:p>
      <w:r>
        <w:t>A/941/2018 - 17/22 - consid. 4.5.1). En effet, celles-ci ne peuvent en principe être déterminées ou prouvées sur la base de critères objectifs que de manière limitée.</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w:t>
      </w:r>
    </w:p>
    <w:p>
      <w:r>
        <w:t>A/941/2018 - 18/22 -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c/dd. Les données médicales permettent généralement une appréciation objective du cas et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Cependant,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du 16 janvier 2014 consid. 5.2.1 et les références citées).</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A/941/2018 - 19/22 -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 là ou 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11</w:t>
      </w:r>
    </w:p>
    <w:p>
      <w:r>
        <w:t>En l'espèce, il convient de comparer la situation telle qu’elle se présentait lors de la décision du 20 janvier 2015 avec celle existant au moment de la décision du</w:t>
      </w:r>
    </w:p>
    <w:p>
      <w:r>
        <w:rPr>
          <w:b/>
        </w:rPr>
        <w:t>E. 14</w:t>
      </w:r>
    </w:p>
    <w:p>
      <w:r>
        <w:t>février 2018 pour apprécier le bien-fondé d'une éventuelle révision opérée en application de l'art. 17 LPGA. La décision du 20 janvier 2015 se fondait sur l’avis émis le 19 janvier 2015 par le SMR. Ce dernier avait admis une capacité de travail nulle dans toute activité du 1er mars 2013 au 21 octobre 2013 et le recouvrement d’une capacité de travail entière dans toute activité adaptée aux limitations fonctionnelles lombaires (port de charges supérieures à 15 kg, marche au-delà de 2 km, position debout au-delà d’une heure, position assise au-delà de deux heures, activités en porte-à-faux lombaire ou penchées en avant, mouvements répétitifs de flexion ou rotation lombaires de forte amplitude et répétitifs) et du genou gauche (marches fréquentes au-delà de 1 km, marche sur terrain irrégulier, activités à genoux ou en position accroupie, mouvements de torsion du genou) retenues par le Dr H______. À la suite de la nouvelle demande déposée le 13 juin 2016, le Dr F______ a indiqué en substance que les diagnostics qu’il avait posés dans le cadre de l’examen de la première demande n’avaient pas changé et qu’il persistait également une boiterie</w:t>
      </w:r>
    </w:p>
    <w:p>
      <w:r>
        <w:t>A/941/2018 - 20/22 - douloureuse et des limitations fonctionnelles concernant la station assise et debout prolongée, ainsi que les mouvements répétitifs de flexion du tronc. À cet égard, un rapport de stage des EPI, évaluant à 50 % le rendement d’un stage à 50 % méritait, selon ce médecin, que l’intimé se repositionnât. Invité le 10 avril 2017 par l’OAI à actualiser le dossier depuis « juillet 2016 », le Dr F______ a répondu le 28 avril 2017 que l’état de santé du recourant s’était aggravé depuis fin 2016, sans changement dans les diagnostics, dans le cadre d’un état « cliniquement stationnaire ». Il a précisé que cette évolution était marquée par une aggravation des limitations à la marche – la marche prolongée étant restreinte à une distance inférieure ou égale à 500 m – et une station assise qui ne pouvait être tenue plus de trois heures de suite, de sorte que la capacité de travail était de 50 % en tant que dessinateur DAO, ce poste étant adapté aux limitations fonctionnelles du recourant. S’agissant des aspects psychiques du cas – absents du dossier dans le cadre de l’examen de la première demande –, ils étaient caractérisés par un épisode dépressif pris en charge depuis le 15 avril 2014 et survenu dans le contexte de la perte d’une bonne partie de ses aptitudes physiques, notamment du fait des lombalgies et gonalgies. Sur la base des rapports recueillis à la suite du dépôt de la demande de prestations, du 13 juin 2016, le médecin SMR a estimé par avis du 2 novembre 2017 que le Dr F______ ne donnait ni description clinique ni explication à l’appui de l’aggravation alléguée, alors même qu’il évoquait une situation clinique stationnaire. Quant à la Dresse I______, il ressortait de ses explications que c’était des raisons somatiques qui dominaient à l’appui de son appréciation de la capacité de travail – selon elle réduite à 50 %. En conclusion, le médecin SMR a estimé que les éléments médicaux mis à sa disposition ne rendaient pas plausible une aggravation de l’état de santé du recourant, de sorte que celui-ci disposait toujours d’une capacité de travail entière, que ce soit dans l’activité habituelle d’ouvrier en horlogerie ou dans toute activité adaptée. Les conclusions du médecin SMR, sur lesquelles se fonde la décision de refus de prestations du 14 février 2018, ne sauraient être suivies pour plusieurs raisons. En effet, la Dresse I______ ne s’est pas contentée d’apprécier différemment une situation connue. Elle a diagnostiqué une pathologie qui n’avait pas été observée auparavant et indiqué que son patient était limité physiquement mais aussi psychiquement dans son activité exercée dans le cadre protégé des EPI. Quant au Dr F______, il précise que cette activité (nouvelle) est celle de dessinateur DAO, qu’il qualifie d’adaptée, tout en mettant en exergue la présence de limitations fonctionnelles intéressant la station assise et debout – qu’il illustre en renvoyant au rapport d’évaluation des EPI du 17 mars 2016, lequel fait état de « capacités physiques fortement restreintes (lombalgies chroniques) et de la nécessité d’un travail léger et à mi-temps, s’effectuant principalement en position assise (libre) » (cf. p. 10 du rapport) – mais aussi un périmètre de marche inférieur ou égal à 500 m. Force est de constater que ces éléments jetaient déjà le doute quant</w:t>
      </w:r>
    </w:p>
    <w:p>
      <w:r>
        <w:t>A/941/2018 - 21/22 - à l’absence d’évolution de la situation et auraient nécessité en soi des éclaircissements. On ajoutera que l’intimé ne pouvait tirer argument du fait que le Dr F______ n’a pas mentionné d’autres diagnostics que ceux qu’il mentionnait déjà en 2014 pour en déduire l’absence de modification de la situation, d’autant que le rapport du 28 avril 2017 de ce médecin répondait à une demande d’actualisation du dossier depuis juillet 2016 (cf. courrier de l’intimé du 10 avril 2017). Enfin, il semble avoir échappé au médecin SMR que l’activité habituelle est, depuis septembre 2015, une activité en atelier protégé, qui plus est exercée à 50 %. Ce nonobstant, il conclut à une pleine capacité de travail dans l’activité habituelle d’ouvrier en horlogerie – qui relevait du marché ordinaire de l’emploi – ou dans toute autre activité adaptée. À cet égard, il y a lieu de relever que selon les EPI, le recourant présente un rendement global de 50 % sur un mi-temps (soit 25 %) et que « viser un emploi dans le marché primaire apparaît donc irréalisable » (cf. p. 13 du rapport). On peine à comprendre, dans ces conditions, comment le médecin SMR est parvenu à cette conclusion. La chambre de céans ne saurait dès lors se fonder sur l’avis SMR du 2 novembre 2017 pour examiner le bien-fondé de la décision entreprise. Compte tenu de ce qui précède, la chambre de céans n’est pas en mesure de statuer en l’état actuel du dossier, sur une modification de la capacité de gain du recourant depuis la décision du 20 janvier 2015, dès lors qu’il ne contient pas les éléments suffisants et probants permettant d’évaluer la capacité de travail de l’assuré dans son activité habituelle en atelier protégé et dans une activité adaptée. Il convient dès lors de renvoyer la cause à l’intimé pour instruction complémentaire sous la forme notamment d’un stage d’observation professionnelle visant à clarifier le rendement exigible et les activités qui demeurent à la portée du recourant. 12. La procédure de recours en matière de contestations portant sur l'octroi ou le refus de prestations de l'assurance-invalidité étant soumise à des frais de justice (art. 69 al. 1bis LAI), un émolument de CHF 200.- sera mis à la charge de l'intimé. Représenté par un mandataire professionnellement qualifié et obtenant gain de cause, le recourant a droit à une indemnité de CHF 2'000.- à titre de dépens (art. 61 let. g LPGA).</w:t>
      </w:r>
    </w:p>
    <w:p>
      <w:r>
        <w:t>*****</w:t>
      </w:r>
    </w:p>
    <w:p>
      <w:r>
        <w:t>PAR CES MOTIFS, LA CHAMBRE DES ASSURANCES SOCIALES : Statuant</w:t>
      </w:r>
    </w:p>
    <w:p>
      <w:r>
        <w:t>A/941/2018 - 22/22 -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