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ATAS/950/2015 vom 3. Dezember 2015</w:t>
      </w:r>
    </w:p>
    <w:p>
      <w:r>
        <w:t>GE Cour de justice, 2015-12-03, FR</w:t>
      </w:r>
    </w:p>
    <w:p>
      <w:r>
        <w:rPr>
          <w:b/>
        </w:rPr>
        <w:t xml:space="preserve">Quelle: </w:t>
      </w:r>
      <w:r>
        <w:t>https://mcp.opencaselaw.ch/entscheid/ge_gerichte_ATAS_950_2015</w:t>
      </w:r>
    </w:p>
    <w:p>
      <w:r>
        <w:t>FR: GE_GERICHTE ATAS/950/2015 du 3 décembre 2015</w:t>
      </w:r>
    </w:p>
    <w:p>
      <w:r>
        <w:t>IT: GE_GERICHTE ATAS/950/2015 del 3 dicembre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A/252/2015 - 12/18 -</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8 décembre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3</w:t>
      </w:r>
    </w:p>
    <w:p>
      <w:r>
        <w:t>Compte tenu de la suspension du délai de recours du 18 décembre 2014 au 2 janvier 2015 inclusivement, le recours interjeté le 26 janvier 2015 dans la forme prévue par la loi, est recevable (art. 38 al. 4 let. c et 56 ss LPGA).</w:t>
      </w:r>
    </w:p>
    <w:p>
      <w:r>
        <w:rPr>
          <w:b/>
        </w:rPr>
        <w:t>E. 4</w:t>
      </w:r>
    </w:p>
    <w:p>
      <w:r>
        <w:t>Le litige a pour objet le droit du recourant à une rente de l'assurance-invalidité, plus particulièrement le point de savoir si son état de santé s’est aggravé depuis le 19 janvier 2012, date à laquelle l'intimé a rejeté sa demande de prestations en retenant une capacité de travail de 80% dans l’activité habituelle de dessinateur en bâtiment et 100 % dans une activité adaptée.</w:t>
      </w:r>
    </w:p>
    <w:p>
      <w:r>
        <w:rPr>
          <w:b/>
        </w:rPr>
        <w:t>E. 5</w:t>
      </w:r>
    </w:p>
    <w:p>
      <w:r>
        <w:t>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w:t>
      </w:r>
    </w:p>
    <w:p>
      <w:r>
        <w:t>A/252/2015 - 13/18 - les cas de révision au sens de l'art. 17 al. 1 LPGA (ATF 133 V 545 consid. 6), c'est- à-dire comparer les circonstances existant lorsque la nouvelle décision est prise avec celles qui existaient lorsque la dernière décision reposant sur un examen matériel du droit à la rente est entrée en force (ATF 133 V 108; ATF 130 V 71) pour apprécier si dans l'intervalle est intervenue une modification sensible du degré d'invalidité justifiant désormais l'octroi d'une rente. Selon la jurisprudence, aussi bien dans le cadre d'une nouvelle demande au sens de l'art. 87 al. 3 RAI (ATF 130 V 71 consid. 3.2.3)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A/252/2015 - 14/18 -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9</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A/252/2015 - 15/18 -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il convient d'examiner, en premier lieu, si la situation du recourant a subi un changement important propre à influencer son degré d'invalidité, et donc son droit à des prestations. b. A l’appui de sa première décision de refus du 19 janvier 2012, l'intimé s'était fondé sur le rapport d'examen rhumatologique du 14 mars 2011 du Dr J______ du SMR, lequel avait diagnostiqué des cervico-brachialgies droites dans le cadre de troubles statiques et dégénératifs du rachis avec hernie discale C4-C5 et rétrécissement canalaire, des lombosciatalgies droites dans le cadre de troubles statiques et dégénératifs du rachis et une arthrose acromio-claviculaire. Le recourant avait été en incapacité de travail totale du 11 janvier au 31 octobre 2010. Dès le 1er novembre 2010, il avait recouvré une capacité de travail de 80% dans son activité habituelle de dessinateur en bâtiment et de 100% dans une activité adaptée. Dans son rapport, le Dr J______ a notamment indiqué que les radiographies de l'épaule droite et de l'articulation acromio-claviculaire droite mettaient en évidence de discrets signes d'arthrose acromio-claviculaire droite. Il existait également une toute petite ossification ronde à la pointe de l'acromion, sans signification pathologique. Il a relevé qu'une arthro-IRM de l'épaule droite ne mettait en évidence qu'une arthrose acromio-claviculaire d'importance moyenne, une coiffe en ordre, sans aucun signe de tendinopathie, ni de rupture. La trophicité musculaire était bonne. Sur les coupes transversales, le supra-scapulaire, le long biceps et l'infra-épineux ne présentaient pas d'anomalie. c. Suite à la nouvelle demande de prestations déposée par le recourant le 17 octobre 2013, l'intimé a retenu, dans sa décision litigieuse du 8 décembre 2014, en se fondant sur les avis du SMR, que la situation du recourant était la même que celle retenue dans la décision du 19 janvier 2012, à savoir une capacité de travail de 80% dans son activité de dessinateur en bâtiment et de 100% dans une activité adaptée à ses limitations fonctionnelles. d. Dans le cadre de l'instruction menée par la chambre de céans, le Dr Z______ a expliqué que le recourant l'avait consulté en septembre 2014 en raison de douleurs à l'épaule droite et que l'IRM pratiquée rapidement avait permis de mettre en évidence une rupture du sus-épineux, le déplacement d'un tendon et un acromion agressif frottant contre les structures musculaires et tendineuses. Les douleurs étaient alors invalidantes puisqu'elles étaient provoquées par le simple fait d'écrire et elles entraînaient une incapacité de travail totale du recourant en septembre 2014, soit au moment où il avait examiné le recourant. Il ne savait pas depuis quand les douleurs étaient apparues, ni depuis quand elles étaient devenues invalidantes</w:t>
      </w:r>
    </w:p>
    <w:p>
      <w:r>
        <w:t>A/252/2015 - 16/18 - (procès-verbal d'enquêtes du 7 mai 2015). Le Dr AB______, également entendu par la chambre de céans, a expliqué avoir procédé à la suture de la coiffe des rotateurs le 17 mars 2015. Il a confirmé la rupture du sus-épineux et de l'infra-épineux, une inflammation du biceps ainsi qu'un acromion de degré deux sur trois qui se traduisaient par des douleurs et une impotence fonctionnelle. Il a expliqué que le recourant, limité dans sa mobilité et au niveau de la force, était dans l'incapacité totale d'exercer son activité de poseur de moquettes depuis septembre 2014. Il ne savait pas si ces atteintes entraînaient également une incapacité de travail dans l'activité de dessinateur sur ordinateur (procès-verbal du 7 mai 2015). e. S'agissant de l'épaule droite du recourant, force est donc de constater une aggravation depuis le 19 janvier 2012 (date de la dernière décision de refus de prestations entrée en force). En effet, il apparaît qu'en septembre 2014, une IRM a révélé la rupture du sus-épineux et de l'infra-épineux, une inflammation du biceps ainsi qu'un acromion de degré deux sur trois, alors que par rapport du 14 mars 2011, le Dr J______ faisait état de discrets signes d'arthrose acromio-claviculaire droite, d'une toute petite ossification ronde à la pointe de l'acromion, sans signification pathologique, d'une arthrose acromio-claviculaire d'importance moyenne, une coiffe en ordre, sans aucun signe de tendinopathie, ni de rupture. La trophicité musculaire était alors bonne et sur les coupes transversales, le supra- scapulaire, le long biceps et l'infra-épineux ne présentaient pas d'anomalie. Cela étant, la chambre de céans rappellera qu'une modification sensible de l’état de santé ne suffit pas encore à retenir une modification du degré d'invalidité. Il importe en effet que les atteintes aient un impact sur la capacité de gain de l'assuré et, à cet égard, influent sur son degré d'invalidité. Or, en l'espèce, les pièces au dossier ne permettent pas de déterminer si l'aggravation des troubles à l'épaule droite du recourant a eu des répercussions sur sa capacité de travail dans son activité de dessinateur en bâtiment, et, cas échéant, depuis quand et à quel taux. En effet, ni le Dr Z______, ni le Dr AB______ n'ont été en mesure de se prononcer sur ces questions. En pareilles circonstances, la chambre de céans ne saurait se déterminer sur la capacité de travail du recourant ni, partant, procéder à une comparaison avec la situation prévalant au moment du refus de prestations (décision du 19 janvier 2012) et se prononcer de manière définitive sur le degré d'invalidité du recourant. Il convient dès lors de renvoyer la cause à l'administration afin qu'elle ordonne un complément d'instruction sous la forme d'une expertise médicale orthopédique. Les conditions jurisprudentielles d’un tel renvoi sont d’autant plus remplies que l'intimé, bien qu'informé dans le cadre de la procédure d'audition du recourant que des investigations supplémentaires étaient en cours concernant les cervico- brachialgies bilatérales dont souffrait ce dernier (rapport du Dr S______ du 30 janvier 2014), a malgré tout notifié sa décision sans procéder à d'autre instruction. Il appartiendra ensuite à l'intimé de rendre une nouvelle décision.</w:t>
      </w:r>
    </w:p>
    <w:p>
      <w:r>
        <w:t>A/252/2015 - 17/18 - Par conséquent, le recours est partiellement admis, la décision attaquée annulée et la cause renvoyée à l’intimé pour instruction complémentaire au sens des considérants et nouvelle décision. Le recourant, qui est représenté et qui obtient partiellement gain de cause, a droit à une indemnité de CHF 3'000.- à titre de participation à ses frais et dépens (art. 61 let. g LPGA ; art. 89 H de la loi sur la procédure administrative du</w:t>
      </w:r>
    </w:p>
    <w:p>
      <w:r>
        <w:rPr>
          <w:b/>
        </w:rPr>
        <w:t>E. 12</w:t>
      </w:r>
    </w:p>
    <w:p>
      <w:r>
        <w:t>septembre 1985 [LPA - E 5 10]; art. 6 du règlement sur les frais, émoluments et indemnités en procédure administrative du 30 juillet 1986 [RFPA - E 5 10.03]). La procédure de recours en matière de contestations portant sur l'octroi ou le refus de prestations de l'assurance-invalidité étant soumise à des frais de justice (art. 69 al. 1bis LAI), au vu du sort du recours, il y a lieu de condamner l'intimé au paiement d'un émolument de CHF 500.-.</w:t>
      </w:r>
    </w:p>
    <w:p>
      <w:r>
        <w:t>A/252/2015 - 18/18 -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