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ATAS/950/2011 vom 12. Oktober 2011</w:t>
      </w:r>
    </w:p>
    <w:p>
      <w:r>
        <w:t>GE Cour de justice, 2011-10-12, FR</w:t>
      </w:r>
    </w:p>
    <w:p>
      <w:r>
        <w:rPr>
          <w:b/>
        </w:rPr>
        <w:t xml:space="preserve">Quelle: </w:t>
      </w:r>
      <w:r>
        <w:t>https://mcp.opencaselaw.ch/entscheid/ge_gerichte_ATAS_950_2011</w:t>
      </w:r>
    </w:p>
    <w:p>
      <w:r>
        <w:t>FR: GE_GERICHTE ATAS/950/2011 du 12 octobre 2011</w:t>
      </w:r>
    </w:p>
    <w:p>
      <w:r>
        <w:t>IT: GE_GERICHTE ATAS/950/2011 del 12 ottobre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A/2224/2009 - 9/15 -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recourant présente une invalidité au sens de la loi lui ouvrant le droit aux prestations.</w:t>
      </w:r>
    </w:p>
    <w:p>
      <w:r>
        <w:rPr>
          <w:b/>
        </w:rPr>
        <w:t>E. 4</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w:t>
      </w:r>
    </w:p>
    <w:p>
      <w:r>
        <w:rPr>
          <w:b/>
        </w:rPr>
        <w:t>E. 5</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w:t>
      </w:r>
    </w:p>
    <w:p>
      <w:r>
        <w:t>A/2224/2009 - 10/15 - les conséquences économiques objectives de l'incapacité fonctionnelle qu'il importe d'évaluer (ATF 110 V 275 consid. 4a, 105 V 207 consid. 2).</w:t>
      </w:r>
    </w:p>
    <w:p>
      <w:r>
        <w:rPr>
          <w:b/>
        </w:rPr>
        <w:t>E. 6</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de substances toxiques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toxicomanie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w:t>
      </w:r>
    </w:p>
    <w:p>
      <w:r>
        <w:t>A/2224/2009 - 11/15 -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w:t>
      </w:r>
    </w:p>
    <w:p>
      <w:r>
        <w:rPr>
          <w:b/>
        </w:rPr>
        <w:t>E. 7</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A/2224/2009 - 12/15 -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En l’espèce, le recourant a été soumis à une expertise par un psychiatre indépendant. Celle-ci a été rendue en connaissance du dossier intégral, sur la base d'une anamnèse détaillée et d'un examen approfondi. Elle prend également en compte les plaintes du recourant. Partant, il y a en principe lieu de reconnaître à cette expertise une pleine valeur probante. Selon l’expert, le recourant ne présente pas d’affection psychiatrique avec influence sur la capacité de travail, abstraction faite de la polytoxicomanie. A titre de diagnostics sans répercussion sur la capacité de travail, il a retenu des troubles anxieux sans précision, des troubles mentaux et troubles comportementaux liés à l’utilisation d’opiacés et de sédatifs, actuellement sous régime de maintenance sous surveillance médicale, ainsi que de dérivés du cannabis, utilisation continue, chez une personnalité à traits immatures, narcissiques et anxieux. L’expert a constaté que le recourant était un homme expressif, ouvert, souriant, aimable, sans troubles cognitifs majeurs, bien adapté et, dans le cadre de l’examen, pas du tout anxieux. Il semblait aussi relativement bien fonctionner sur le plan social. Sa scolarité avait été normale et il avait pu commencer un apprentissage, qui avait toutefois été arrêté au moment où la consommation de substances diverses avait pris le dessus. Néanmoins, le recourant n’était pas devenu clochard, mais avait témoigné d’une très bonne capacité d’adaptation, assumant différentes activités temporaires, gérant deux commerces pendant deux ans et développant une activité de commerçant de cassettes et de CD sur les marchés de la région. Il avait été ainsi professionnellement actif durant 11 ans, même s’il y avait eu des coupures. Il avait aussi réussi à financer sa consommation de substances psychotropes par ses propres moyens et ses capacités de gestion étaient depuis toujours considérables. Les données anamnestiques contredisaient le diagnostic de personnalité borderline, d'autant plus que l'expertisé avait eu à plusieurs reprises des relations de plutôt longue durée. Il était actuellement dans une relation qui durait depuis plus de six ans. Par ailleurs, les documents ne faisaient pas état d’un état dépressif ni intense ni</w:t>
      </w:r>
    </w:p>
    <w:p>
      <w:r>
        <w:t>A/2224/2009 - 13/15 - durable dans le passé. Lorsque le recourant avait été pris en charge par un psychiatre, le Dr Q__________, en 2006, celui-ci n’avait pas introduit une médication antidépressive. Il n’en prenait toujours pas aujourd’hui et n’avait pas de suivi psychiatrique. Quant à la notion d’asthénie, il s’agissait d’un symptôme non spécifique, présent dans de très nombreuses maladies. Le plus probable était qu’il fût en lien avec la consommation continue à haute dose de méthadone et de benzodiazépines. A l’examen clinique, l’expert n’a en outre pas constaté de trace de fatigue particulière ni d’asthénie ni d’autres éléments dépressifs. En ce qui concerne l’anxiété, l’expert a relevé que le recourant n’était pas dysfonctionnel et anxieux depuis toujours, « mais un jeune garçon qui a fait un chemin « classique » entre curiosité, contacts avec des milieux où la drogue était présente, élargissement de la curiosité pour d’autres substances et intensification ». Pour l’expert, il s’agit à l’évidence d’une toxicomanie primaire, en l’absence d’une problématique psychiatrique documentée. La dépendance aux benzodiazépines constituait ainsi un phénomène d’évolution autonome entre accoutumance, dépendance, apparition de syndrome de sevrage et réponse de maintien de la substance. Toutefois, l’expert a admis qu’un sevrage après tant d’années et après la consommation à hautes doses restera très difficile, mais non pas impossible. Actuellement, le niveau d’anxiété à l’examen clinique était léger à moyen au maximum. Les opiacés pouvaient provoquer un déficit cognitif, dans un premier temps réversible avec une abstinence conséquente, dans un deuxième temps durable. Cependant, à l’examen clinique, il n’y avait aucun indice véritable pour un déficit cognitif. Au contraire, le recourant avait fait preuve de vivacité et de capacités cognitives plutôt bonnes. Ainsi, l’expert a considéré qu’il s’agissait d’un ancien polytoxicomane actuellement stabilisé avec des régimes de substitution qui ne présentait pas de psychopathologie majeure. Toutefois, un sevrage médico-théorique, suivi d’une période d’abstinence suffisamment longue, nécessitera très probablement un important effort d’adaptation et provoquera des troubles d’adaptation. Ces conclusions sont partiellement contredites par les déclarations du Dr Q__________ lors de son audition en date du 29 août 2007. Celui-ci a indiqué qu’il était possible d’émettre un diagnostic psychiatrique, lorsque l’état psychique du patient était stabilisé, comme en l’espèce, grâce à la méthadone et aux benzodiazépines. Le Dr Q__________ a considéré que le recourant souffrait d’un trouble borderline. En outre, les personnes qui prenaient des drogues présentaient au départ généralement une réactivité au stress anormale et un déséquilibre. Le Dr Q__________ a néanmoins admis que, ne connaissant pas le patient au début de sa toxicomanie, il ne pouvait pas se prononcer davantage à ce sujet et qu'il y avait une interaction entre les toxiques et les troubles psychiques constatés. Un arrêt total des benzodiazépines et du cannabis améliorerait peut-être l’état psychique du recourant. Cependant, il n’était pas exigible que celui-ci s’en abstienne totalement et qu’il réduise la dose de méthadone à 100 mg. L’arrêt des toxiques ne dépendait pas</w:t>
      </w:r>
    </w:p>
    <w:p>
      <w:r>
        <w:t>A/2224/2009 - 14/15 - uniquement de la bonne volonté du recourant, selon ce médecin, dès lors que les affections psychiques l’en empêchaient. Récemment, la Dresse S__________ a examiné le recourant. Selon celle-ci, il présente actuellement un épisode dépressif moyen et un trouble anxieux généralisé avec un seuil d’angoisse palpable. Elle a admis cependant que toutes ces manifestations cliniques étaient en relation avec la dépendance aux benzodiazépines. Une réévaluation diagnostique après sevrage, même partiel, de tranquillisants était indispensable, ceux-ci masquant le tableau et pouvant produire des effets paradoxaux en renforçant les troubles anxieux. La consommation de cannabis était également connue pour renforcer les troubles dépressifs et altérer les capacités cognitives. Cette praticienne ne s'est cependant pas prononcée sur la question de savoir si la toxicomanie était induite par une affection psychiatrique. De l’avis de la Cour de céans, les appréciations des Dr Q__________ du S__________ ne permettent pas de mettre en cause les conclusions de l’expert. Ils concèdent en effet que les substances toxiques interfèrent avec les symptômes psychiatriques constatés. Partant, il n’est en l’espèce pas possible d'émettre des diagnostics précis sur le plan psychiatrique. En outre, il n’apparaît pas non plus que la toxicomanie du recourant soit secondaire à des affections psychiques. En effet, comme l’expert l’a exposé, le recourant ne semble pas avoir été dysfonctionnel et anxieux depuis toujours. Il a par ailleurs déclaré à l’expert qu’il ne comprenait pas lui-même sa toxicomanie (p. 4 de l’expertise). A cela s’ajoute qu’en dépit de sa toxicomanie, le recourant a réussi à travailler et à financer sa consommation de drogues par ses propres moyens, sans tomber dans la délinquance. Ses relations sentimentales stables contredisent également le diagnostic de trouble de la personnalité borderline évoqué par certains médecins. Quant à un éventuel trouble dépressif, il ne peut être établi que celui-ci était déjà présent avant que le recourant commence à consommer des drogues. Cela étant, au degré de la vraisemblance prépondérante, la Cour de céans retient que la toxicomanie est en l’espèce primaire et que les manifestations psychiatriques actuelles du recourant sont en majeure partie induites par des substances toxiques. Ainsi, il convient d'admettre que, sans la toxicomanie, le recourant serait capable de travailler. Cela étant, une invalidité à la charge de l’assurance-invalidité au sens de la loi et de la jurisprudence ne peut être reconnue.</w:t>
      </w:r>
    </w:p>
    <w:p>
      <w:r>
        <w:rPr>
          <w:b/>
        </w:rPr>
        <w:t>E. 9</w:t>
      </w:r>
    </w:p>
    <w:p>
      <w:r>
        <w:t>Au vu de ce qui précède, le recours sera rejeté.</w:t>
      </w:r>
    </w:p>
    <w:p>
      <w:r>
        <w:rPr>
          <w:b/>
        </w:rPr>
        <w:t>E. 10</w:t>
      </w:r>
    </w:p>
    <w:p>
      <w:r>
        <w:t>Le recourant plaidant au bénéfice de l’assistance juridique, la Cour de céans renonce à percevoir un émolument de justice.</w:t>
      </w:r>
    </w:p>
    <w:p>
      <w:r>
        <w:t>A/2224/2009 - 15/15 -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