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ATAS/94/2020 vom 11. Februar 2020</w:t>
      </w:r>
    </w:p>
    <w:p>
      <w:r>
        <w:t>GE Cour de justice, 2020-02-11, FR</w:t>
      </w:r>
    </w:p>
    <w:p>
      <w:r>
        <w:rPr>
          <w:b/>
        </w:rPr>
        <w:t xml:space="preserve">Quelle: </w:t>
      </w:r>
      <w:r>
        <w:t>https://mcp.opencaselaw.ch/entscheid/ge_gerichte_ATAS_94_2020</w:t>
      </w:r>
    </w:p>
    <w:p>
      <w:r>
        <w:t>FR: GE_GERICHTE ATAS/94/2020 du 11 février 2020</w:t>
      </w:r>
    </w:p>
    <w:p>
      <w:r>
        <w:t>IT: GE_GERICHTE ATAS/94/2020 del 11 febbraio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A/630/2018 - 5/12 - (LPGA - RS 830.1) relatives à la loi fédérale sur l'assurance-maladie, du 18 mars 1994 (LAMal - RS 832.10).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l’étendue de la participation de l’assureur en sa qualité d’assurance obligatoire des soins, et plus particulièrement sur la question de la prise en charge par l’assurance obligatoire des soins des traitements dispensés à l’assuré lors de son séjour à la Paracelsus Clinica.</w:t>
      </w:r>
    </w:p>
    <w:p>
      <w:r>
        <w:rPr>
          <w:b/>
        </w:rPr>
        <w:t>E. 4</w:t>
      </w:r>
    </w:p>
    <w:p>
      <w:r>
        <w:t>Selon l'art. 25 LAMal, l'assurance obligatoire de soins prend en charge les coûts des prestations qui servent à diagnostiquer ou à traiter une maladie et ses séquelles (al. 1). Ces prestations comprennent notamment les médicaments prescrits par un médecin (al. 2 let. b). Conformément à l'art. 34 al. 1 LAMal, les assureurs ne peuvent pas prendre en charge, au titre de l'assurance obligatoire des soins, d'autres coûts que ceux des prestations prévues aux art. 25 à 33. Aux termes de l'art. 32 LAMal, « 1 Les prestations mentionnées aux art. 25 à 31 doivent être efficaces, appropriées et économiques. L’efficacité doit être démontrée selon des méthodes scientifiques. 2 L’efficacité, l’adéquation et le caractère économique des prestations sont réexaminés périodiquement ». L’efficacité doit être démontrée selon des méthodes scientifiques (art. 32 al. 1 LAMal). Une prestation est efficace lorsqu'on peut objectivement en attendre le résultat thérapeutique visé par le traitement de la maladie, à savoir la suppression la plus complète possible de l'atteinte à la santé somatique ou psychique (ATF 130 V 532 consid. 2.2; 128 V 159 consid. 5c/aa). L'efficacité d’un médicament – soit son utilité thérapeutique – doit être démontrée de manière scientifique. À cet égard, il ne suffit pas de se fonder sur les résultats concrets du traitement dans un cas isolé mais bien d'apprécier l'efficacité des résultats obtenus par un traitement de manière générale et non en fonction d'un cas isolé. En sus des méthodes purement scientifiques, on peut également se fonder par exemple sur des statistiques. L'essai clinique est la méthode la plus fiable pour amener la preuve de l'efficacité, mais les effets d'une thérapie doivent pouvoir être constatés de manière objective, le résultat doit être reproductible, et le lien de causalité entre l'agent thérapeutique et son effet doit être démontré (ATF 133 V 115 consid. 3.2.1). En matière de formation scolaire spéciale de l'assurance-invalidité, le Tribunal fédéral a par exemple admis que le caractère scientifiquement reconnu d'une méthode pouvait ressortir d'une expertise ou de la littérature spécialisée (ATF 123 V 53 consid. 2 b/cc). Si la notion du caractère scientifiquement reconnu a été remplacée par celle de l'efficacité lors de la révision de l'assurance-maladie afin de tenir</w:t>
      </w:r>
    </w:p>
    <w:p>
      <w:r>
        <w:t>A/630/2018 - 6/12 - compte des traitements relevant de médecines complémentaires (Message concernant la révision de l'assurance-maladie du 6 novembre 1991, FF 1992 77 p. 140), cette jurisprudence reste néanmoins valable en tant qu'elle porte sur la nature des preuves scientifiques admissibles.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w:t>
      </w:r>
    </w:p>
    <w:p>
      <w:r>
        <w:rPr>
          <w:b/>
        </w:rPr>
        <w:t>E. 5</w:t>
      </w:r>
    </w:p>
    <w:p>
      <w:r>
        <w:t>a. Pour garantir que les prestations prises en charge par l'assurance-maladie obligatoire remplissent les exigences de l'efficacité, de l'adéquation et du caractère économique, l'art. 33 LAMal prévoit un système pour désigner les prestations susceptibles d'être prises en charge. Ce système distingue selon le type de fournisseurs de prestations et/ou selon la nature de la prestation dispensée et est concrétisé par l'art. 33 OAMal (ATF 129 V 167 consid. 3.2 p. 170). En ce qui concerne les prestations énumérées à l'art. 25 al. 2 let. b LAMal (analyses, médicaments, moyens et appareils diagnostiques), le législateur a prévu un système dit de liste positive, qui est à la fois exhaustif et contraignant, à la différence du catalogue de certaines prestations fournies par les médecins de l'Annexe 1 à l'OPAS (cf. ATF 130 V 532 consid. 3.4; 129 V 167 consid. 3.4 p. 172 ; arrêt du Tribunal fédéral 9C_912/2010). b. Sur la base de la délégation de compétence de l’art. 33 al. 1 et 5 LAMal, le Conseil fédéral, soit pour lui le Département fédéral de l’intérieur, a établi la liste des prestations fournies par des médecins dont les coûts ne sont pas à la charge de l’assurance obligatoire ou ne le sont qu’à certaines conditions (art. 33 let. a OAMal , art. 1 de l'ordonnance du DFI sur les prestations dans l’assurance obligatoire des soins en cas de maladie du 29 septembre 1995 [Ordonnance sur les prestations de l’assurance des soins, OPAS ; RS 832.112.31] et son annexe 1). c. Conformément à l'art. 52 al. 1 let. b LAMal (en corrélation avec les art. 34 et 37e OAMal), l'Office fédéral de la santé publique, après avoir consulté la Commission fédérale des médicaments et conformément aux principes des</w:t>
      </w:r>
    </w:p>
    <w:p>
      <w:r>
        <w:t>A/630/2018 - 7/12 - art. 32 al. 1 et 43 al. 6 LAMal, établit une liste, avec des prix, des préparations pharmaceutiques et des médicaments confectionnés (liste des spécialités, annexe 4 de l'OPAS). Aux termes de l'art. 73 OAMal,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p. 158 consid. 2d; Gebhard EUGSTER, Krankenversicherung, in: Schweizerisches Bundesverwaltungsrecht (SBVR), Soziale Sicherheit, p. 101, n. 436). Elles ont également pour but d'exclure ou de limiter la possibilité d'utiliser de manière abusive des médicaments de la liste des spécialités (ATF 129 V 32 consid. 5.2 ; K 156/01 consid. 3.3.1 ; ATF 128 V 159).</w:t>
      </w:r>
    </w:p>
    <w:p>
      <w:r>
        <w:rPr>
          <w:b/>
        </w:rPr>
        <w:t>E. 6</w:t>
      </w:r>
    </w:p>
    <w:p>
      <w:r>
        <w:t>La liste des spécialités a un caractère à la fois exhaustif et contraignant. La prise en charge par l'assurance-maladie obligatoire d'une prestation correspondant à une analyse, un appareil ou un moyen, ou encore un produit thérapeutique suppose en principe que l'analyse, respectivement le moyen, l'appareil ou le médicament en cause, figure dans la liste des analyses (LAna, annexe 3 de l'OPAS), respectivement la liste des moyens et appareils (LiMA, annexe de l'OPAS) ou la liste des spécialités. En d'autres termes, le système légal exclut la prise en charge par l'assurance obligatoire des soins d'une prestation sous forme d'analyse, d'appareil, de moyen ou encore de produit thérapeutique si elle n'est pas mentionnée dans la LAna, respectivement la LiMA ou la liste des spécialités (RAMA 2003 p. 299, consid. 3.2 ; arrêt du Tribunal fédéral des assurances K 147/06 du 9 janvier 2008 consid. 4.1). En particulier, même si un médicament, qui ne figure pas sur la liste des spécialités (ou la liste des médicaments avec tarif) est prescrit par un médecin et est efficace, approprié et économique au sens de l'art. 32 al. 1 LAMal, il n'a pas à être pris en charge par l'assurance obligatoire des soins (ATF 134 V 83 consid. 4.1).</w:t>
      </w:r>
    </w:p>
    <w:p>
      <w:r>
        <w:rPr>
          <w:b/>
        </w:rPr>
        <w:t>E. 7</w:t>
      </w:r>
    </w:p>
    <w:p>
      <w:r>
        <w:t>a. Les conditions de mise sur le marché d'un médicament sont réglées notamment par la loi fédérale sur les médicaments et les dispositifs médicaux (LPTh ; RS 812.21) et se rapportent toujours à des indications médicales précises. La prescription d'un médicament pour des indications autres que celles prévues par l'autorisation et reprises dans le compendium suisse des médicaments, dite prescription "hors étiquette" ou off label, n'est en principe pas soumise à l'obligation de remboursement par l'assurance-maladie (ATF 130 V 542 consid. 5.4.2 et 6). Des exceptions à ce principe existent lorsqu’il y a un complexe thérapeutique ou dans le cas d’une maladie potentiellement fatale ou entraînant des problèmes de santé graves et chroniques et pour laquelle il n'existe pas d’autre traitement efficace (ATF 136 V 395 consid. 5.2). Dans ce dernier cas, le médicament doit toutefois présenter une utilité thérapeutique importante (arrêt du Tribunal fédéral des assurances K 83/04 du 2 mai 2005 consid. 2.2). b. À la suite de l'adoption du postulat 10.3261 "Prise en charge des médicaments hors étiquette et maladies orphelines" déposé par le Conseiller aux États Didier BERBERAT, le Conseil fédéral a accepté de modifier l'OAMal afin d'y intégrer les</w:t>
      </w:r>
    </w:p>
    <w:p>
      <w:r>
        <w:t>A/630/2018 - 8/12 - exceptions reconnues par le Tribunal fédéral au principe de la liste afin de donner un signal sur l'importance de la mise en pratique de ces exceptions (BO 2010 CE 843). Il a ainsi édicté l’art. 71a et 71b OAMal, entrés en vigueur le 1er mars 2011. L'art. 71a OAMal régit désormais la prise en charge des coûts d’un médicament admis dans la liste des spécialités et utilisé pour d’autres indications que celles autorisées dans l’information professionnelle ou prévues par la limitation. La teneur de l'alinéa premier est la suivante: l’assurance obligatoire des soins prend en charge les coûts d’un médicament admis dans la liste des spécialités et utilisé pour une autre indication que celle autorisée par l’institut ou prévue par la limitation fixée dans la liste des spécialités, au sens de l’art. 73, si : - l’usage du médicament constitue un préalable indispensable à la réalisation d’une autre prestation prise en charge par l’assurance obligatoire des soins et que celle-ci est largement prédominante (let. a). - ou si l’usage du médicament permet d’escompter un bénéfice élevé contre une maladie susceptible d’être mortelle pour l’assuré ou de lui causer des problèmes de santé graves et chroniques et que, faute d’alternative thérapeutique, il n’existe pas d’autre traitement efficace autorisé (let. b). Elle prend en charge les coûts du médicament seulement si l’assureur a donné une garantie spéciale après avoir consulté le médecin-conseil (art. 71a al. 2). Le rapport entre la somme à rembourser et le bénéfice thérapeutique du médicament doit être adéquat. L’assureur fixe le montant du remboursement. Le prix maximal est celui qui figure dans la liste des spécialités (art. 71a al. 3). L'art. 71b OAMal règlemente la prise en charge des coûts d’un médicament ne figurant pas dans la liste des spécialités. Il dispose que l’assurance obligatoire des soins prend en charge les coûts d’un médicament prêt à l’emploi autorisé par l’institut lorsqu’il ne figure pas sur la liste des spécialités et qu’il est utilisé pour les indications mentionnées sur la notice ou en dehors de celles-ci, si les conditions mentionnées à l’art. 71a, al. 1, let. a ou b, sont remplies (al. 1). Elle prend en charge les coûts d’un médicament non autorisé par l’institut mais pouvant être importé selon la LPTh si les conditions mentionnées à l’art. 71a, al. 1, let. a ou b, sont remplies et que le médicament est autorisé pour l’indication correspondante par un État ayant institué un système équivalent d’autorisation de mise sur le marché reconnu par l’institut (al. 2). Elle prend en charge les coûts du médicament (al. 3). Ces nouvelles dispositions sont certes plus restrictives que la jurisprudence dès lors qu'elles exigent notamment que le médicament ait été autorisé pour une indication similaire dans un autre pays, ce qui ne ressort pas expressément de la jurisprudence qu'elles étaient censées codifier. Elles n'affectent cependant pas la portée des exceptions consenties par la jurisprudence dans les cas qu'elles ne règlent pas expressément, par exemple celui d'un médicament autorisé à l'étranger pour une</w:t>
      </w:r>
    </w:p>
    <w:p>
      <w:r>
        <w:t>A/630/2018 - 9/12 - utilisation thérapeutique différente de celle à laquelle il est destiné dans le cas d'espèce.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ATF I 339/03 du 19 novembre 2003 consid. 2).</w:t>
      </w:r>
    </w:p>
    <w:p>
      <w:r>
        <w:rPr>
          <w:b/>
        </w:rPr>
        <w:t>E. 9</w:t>
      </w:r>
    </w:p>
    <w:p>
      <w:r>
        <w:t>a. En l’espèce, l’assuré souhaitait que soit éclaircie la question de l’étendue de la participation de l’assureur en sa qualité d’assurance obligatoire des soins, s’agissant des factures relatives à son séjour du 9 au 29 avril 2017 à la Paracelsus Clinica. Il se plaignait de n’être en mesure ni de vérifier l’exactitude des décomptes, ni de se déterminer sur les motifs de refus invoqués par l’assureur pour ne pas entrer en matière. Il reprochait à l’assureur de ne pas lui avoir donné de réponse claire, vu les descriptions inexistantes ou laconiques contenues dans ses décomptes et sa correspondance principalement et d’avoir refusé la prise en charge de certaines prestations sans en expliquer clairement les motifs. Ce grief, de nature formelle, doit être examiné en premier lieu (ATF 127 V 431 consid. 3d/aa; ATF 124 V 90 consid. 2 notamment). b. Selon l’art. 49 al. 3 LPGA, les décisions indiquent les voies de droit. Elles doivent être motivées si elles ne font pas entièrement droit aux demandes des parties. La notification irrégulière d’une décision ne doit entraîner aucun préjudice pour l’intéressé. 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La jurisprudence, rendue sous l'empire de l'art. 4 aCst. et qui s'applique également à l'art. 29 al. 2 Cst. (ATF 129 II 504 consid. 2.2),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w:t>
      </w:r>
    </w:p>
    <w:p>
      <w:r>
        <w:t>A/630/2018 - 10/12 - l'administration des preuves, d'en prendre connaissance et de se déterminer à leur propos (ATF 126 I 16 consid. 2a/aa ; ATF 124 V 181 consid. 1a ; ATF 124 V 375 consid. 3b et les références).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c. Force est de constater en l'espèce que l’assureur a créé une certaine confusion, en adressant à l’assuré ses décomptes des 12 et 17 mai 2017, puis son décompte rectificatif du 2 juin 2017. Il a du reste lui-même admis, d'une façon générale, que ses décomptes n’étaient pas clairs pour les assurés et a indiqué que ceux-ci allaient à l’avenir être améliorés. Il convient toutefois de relever que si le décompte du 2 juin 2017 se borne à mentionner les montants pris en charge sans aucune motivation, ceux des 12 et 17 mai 2017 précisent les raisons pour lesquelles certains frais sont écartés de l'assurance obligatoire des soins. L’assureur a par ailleurs complété ces explications de façon encore plus détaillée dans sa décision sur opposition du 23 janvier 2018 en établissant un tableau, puis dans ses écritures des 14 juin et 10 septembre 2018. Il sied à ce stade d’examiner si une violation du droit d’être entendu a néanmoins été commise par l’assureur.</w:t>
      </w:r>
    </w:p>
    <w:p>
      <w:r>
        <w:rPr>
          <w:b/>
        </w:rPr>
        <w:t>E. 10</w:t>
      </w:r>
    </w:p>
    <w:p>
      <w:r>
        <w:t>a. Dans son recours, l'assuré allègue avoir déboursé CHF 14’249.43 conformément à une facture datée du 29 avril 2017. Selon l’assureur, cette facture ne comporte pas le nom du fournisseur de soins, ne remplit pas les exigences des tarifications TARMED et comporte de nombreuses prestations non médicales. b. Il y a toutefois lieu de relever que cette facture de CHF 14'249.43 ne fait que récapituler, d’une part, les quinze factures que l’assuré a transmises à l’assureur pour un total de CHF 11'521.05, et comprend, d’autre part, des prestations relevant des frais de séjour. Il va de soi que ces prestations ne concernant pas l’assurance obligatoire des soins, l'assureur n'a pas à les prendre en charge. c. Reste en conséquence à examiner de quelle manière l’assureur a traité ces quinze factures ayant fait l’objet des décomptes des 12 et 17 mai 2017 et du décompte rectificatif du 2 juin 2017. c/aa. Il y a lieu de constater, sur la base du tableau annexé à la décision sur opposition du 23 janvier 2018, que les factures de CHF 44.70, CHF 553.-, CHF 127.85, CHF 1'074.55, CHF 11.20 et CHF 26.90 ont été intégralement remboursées par l’assureur. D'autres factures n'ont été prises en charge que partiellement, à savoir :</w:t>
      </w:r>
    </w:p>
    <w:p>
      <w:r>
        <w:t>A/630/2018 - 11/12 - - celle de CHF 2'398.30, à hauteur de CHF 4.05 - celle de CHF 2'646.90, à hauteur de CHF 159.90 - celle de CHF 2'982.80, à hauteur de CHF 55.70 - celle de CHF 210.60, à hauteur de CHF 12.50 - et celle de CHF 314.50, à hauteur de CHF 300.90 Au total, l’assureur, selon son tableau, a remboursé CHF 2'371.25, alors que dans sa réponse du 14 juin 2018, il affirme avoir versé CHF 2'152.01. Il a par ailleurs refusé de prendre en charge les factures de CHF 244.35, CHF 225.-, CHF 172.40 et de CHF 702.-, ce, en application du ch. 10 de l’annexe 1 OPAS (médecines complémentaires), de l’art. 65 OAMal (liste spéciale des médicaments) et de la LiMa de l’annexe 2 OPAS pour le matériel, et celle de CHF 11.-, parce que correspondant à des frais de port et d’emballage. L’assureur indique ainsi, d’une façon générale, quelles sont les dispositions qu’il entend appliquer, sans préciser pour chacune des factures, quel médicament est pris en charge et quel ne l’est pas. c/bb. Du décompte rectificatif du 2 juin 2017 en revanche, il résulte que les factures intégralement remboursées selon le tableau susmentionné ne l’ont en réalité été que partiellement (exemple : celle de CHF 1'074.55 pour CHF 483.49 et de CHF 553.- pour CHF 248.80), ce sans explication. Les montants figurant sur le tableau, d’une part, et sur le décompte du 2 juin 2017, d’autre part, sont également différents pour : - la facture de CHF 2'398.30, prise en charge pour CHF 4.05, qui l’aurait en réalité été pour CHF 483.99. - la facture de CHF 2’646.90, prise en charge pour CHF 159.90, qui l’aurait en réalité été pour CHF 704.72. - la facture de CHF 2'982.80, prise en charge pour CHF 55.70, qui l’aurait en réalité été pour CHF 691.84. À noter qu’il n’est pas question dans le décompte du 2 juin 2017 des factures de CHF 210.60 et de CHF 314.50. Quant à la facture de CHF 2'656.50, l’assureur en avait demandé la copie à l’assuré pour se déterminer. On ignore si elle a d'ores et déjà été transmise. Force est en conséquence de conclure à une violation du droit d’être entendu commise par l’assureur, au vu de la motivation lacunaire et des contradictions relevées entre le tableau annexé à la décision sur opposition du 23 janvier 2018 et le décompte rectificatif du 2 juin 2017.</w:t>
      </w:r>
    </w:p>
    <w:p>
      <w:r>
        <w:rPr>
          <w:b/>
        </w:rPr>
        <w:t>E. 11</w:t>
      </w:r>
    </w:p>
    <w:p>
      <w:r>
        <w:t>Aussi le recours est-il admis et la cause renvoyée à l’assureur à charge pour lui d’établir un décompte de prestations clair, détaillé et motivé.</w:t>
      </w:r>
    </w:p>
    <w:p>
      <w:r>
        <w:t>A/630/2018 - 12/12 -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