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ATAS/94/2017 vom 8. Februar 2017</w:t>
      </w:r>
    </w:p>
    <w:p>
      <w:r>
        <w:t>GE Cour de justice, 2017-02-08, FR</w:t>
      </w:r>
    </w:p>
    <w:p>
      <w:r>
        <w:rPr>
          <w:b/>
        </w:rPr>
        <w:t xml:space="preserve">Quelle: </w:t>
      </w:r>
      <w:r>
        <w:t>https://mcp.opencaselaw.ch/entscheid/ge_gerichte_ATAS_94_2017</w:t>
      </w:r>
    </w:p>
    <w:p>
      <w:r>
        <w:t>FR: GE_GERICHTE ATAS/94/2017 du 8 février 2017</w:t>
      </w:r>
    </w:p>
    <w:p>
      <w:r>
        <w:t>IT: GE_GERICHTE ATAS/94/2017 del 8 febbraio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l’intimée à mettre un terme aux prestations d’assurance avec effet au 17 mai 2015, en particulier sur la question de savoir si les troubles du recourant ont un lien de causalité avec l’accident du 25 septembre 2014.</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w:t>
      </w:r>
    </w:p>
    <w:p>
      <w:r>
        <w:t>A/2748/2015 - 12/19 -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w:t>
      </w:r>
    </w:p>
    <w:p>
      <w:r>
        <w:t>A/2748/2015 - 13/19 -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S’il s’agit d’un accident sans lésions structurelles au squelette, il y a lieu de considérer que la chronicisation des plaintes doit être de plus en plus attribuée à d’autres facteurs (étrangers à l’accident) (arrêt du Tribunal fédéral des assurances U 354/04 du 11 avril 2005 consid. 2.2 et avec références ; arrêt du Tribunal fédéral des assurances U 60/02 du 18 septembre 2002 et références). Des plaintes consécutives à une simple contusion durant longtemps doivent en effet souvent être attribuées à un trouble de l’adaptation ou de graves perturbations (Fehlentwicklung) (arrêt du Tribunal fédéral des assurances U 354/04 du 11 avril 2005, consid. 2.2, voir également arrêt du Tribunal fédéral des assurances U 60/02 du 18 septembre 2002).</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w:t>
      </w:r>
    </w:p>
    <w:p>
      <w:r>
        <w:t>A/2748/2015 - 14/19 -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w:t>
      </w:r>
    </w:p>
    <w:p>
      <w:r>
        <w:t>A/2748/2015 - 15/19 -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t>A/2748/2015 - 16/19 -</w:t>
      </w:r>
    </w:p>
    <w:p>
      <w:r>
        <w:rPr>
          <w:b/>
        </w:rPr>
        <w:t>E. 11</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 accidents (ATF 130 V 380 consid. 2.3.1).</w:t>
      </w:r>
    </w:p>
    <w:p>
      <w:r>
        <w:rPr>
          <w:b/>
        </w:rPr>
        <w:t>E. 12</w:t>
      </w:r>
    </w:p>
    <w:p>
      <w:r>
        <w:t>a. En l’espèce, l’intimée a mis un terme au versement des prestations avec effet au</w:t>
      </w:r>
    </w:p>
    <w:p>
      <w:r>
        <w:rPr>
          <w:b/>
        </w:rPr>
        <w:t>E. 17</w:t>
      </w:r>
    </w:p>
    <w:p>
      <w:r>
        <w:t>mai 2015. Elle s’est fondée sur les appréciations orthopédiques du Dr F______, dans un premier temps, puis du Dr L______. Pour sa part, le recourant conteste la position de l’intimée et considère qu’il est totalement incapable de travailler en raison de l’accident du 25 septembre 2014, de sorte que l’intimée devrait continuer à lui servir des prestations. Ce faisant, il remet en questions les appréciations des Drs F______ et L______, leur préférant celles des Drs C______, B______, K______ et M______. b. La chambre de céans relève à titre liminaire qu’elle dispose d’un dossier contenant tous les éléments nécessaires pour trancher le litige, de sorte qu’il n’y a pas lieu d’ordonner d’actes d’instruction complémentaires, et ce malgré la réquisition de preuve relative à l’audition du Dr M______ présentée par le recourant dans ses observations du 22 juillet 2016. Compte tenu de son objet, le recours doit être tranché principalement à la lumière des documents médicaux figurant au dossier et de critères jurisprudentiels. Or, les conclusions du Dr M______ figurent dans ses rapports des 23 juin 2016 et 26 janvier 2017 versés au dossier, de sorte qu’elles sont connues de la chambre de céans et que l’audition de ce médecin n’apparaît pas nécessaire. Cela est d’autant plus vrai que la chambre de céans dispose de nombreux rapports établis par plusieurs médecins et que les conclusions du Dr M______ n’apportent aucun élément objectif qui ne figurerait pas déjà dans ces rapports. c. S’agissant des appréciations orthopédiques des 21 janvier et 20 juin 2016 du Dr L______, il appraît que ces documents sont complémentaires et qu’ils sont fondés sur une étude approfondie du dossier. Le Dr L______ a rappelé le contexte</w:t>
      </w:r>
    </w:p>
    <w:p>
      <w:r>
        <w:t>A/2748/2015 - 17/19 - dans lequel son intervention a été requise, exposé l’anamnèse du recourant et résumé la documentation médicale mise à sa disposition, avant de se livrer à l’analyse du cas et de conclure. Il a pris en compte à la fois les plaintes du recourant, mais également les rapports des autres médecins ayant eu à connaître de l’état de santé du recourant depuis le 25 septembre 2014. Les conclusions du Dr L______ sont claires, convaincantes et motivées à satisfaction de droit, de sorte qu’elles permettent de comprendre la nature des atteintes somatiques présentées par le recourant et le retour à un statu quo sine, ses troubles ne pouvant pas être expliqués par l’accident du 25 septembre 2014, le diagnostic de tendinopathie rotulienne ou encore les documents d’imagerie figurant au dossier. Compte tenu de ces éléments, les appréciations du Dr L______ doivent se voir reconnaître une pleine valeur probante. Afin d’être exhaustif, il convient de relever que l’étude du cas par le Dr L______ repose exclusivement sur le dossier lui ayant été communiqué et qu’il n’a pas examiné personnellement le recourant. Toutefois, eu égard à la jurisprudence en la matière, cela n’a aucune conséquence sur la valeur probante de ses appréciations, dans la mesure où il s’est fondé sur les rapports de plusieurs médecins ayant procédé à l’examen clinique de l’intéressé. En outre, il convient de relever que les conclusions du Dr L______ sont confortées totalement ou en partie par celles des Drs F______, H______, K______ et B______. Certes, le recourant les conteste. Cela étant, l’intéressé se contente de substituer sa propre appréciation et celles de ses médecins traitants, en particulier les Drs C______ et M______ à celles du Dr L______. Or,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(arrêt du Tribunal fédéral 9C_618/2014 du 9 janvier 2015 consid. 6.2.3). Quant à l’argument du recourant selon lequel le Dr L______ n’est pas en mesure de déterminer la raison de l’inflammation des parties molles de son genou gauche, il doit être écarté. En effet, si le Dr L______ indique effectivement qu’il ne peut pas définir exactement la nature, respectivement l’étiologie de l’épaississement de la couche cutanéo-sous- cutanée prétendineuse, il relève également que les informations en sa possession sont suffisantes pour pouvoir retenir l’absence d’un problème spécifique digne de préoccupation en rapport avec cette constatation clinique, qui ne peut clairement pas expliquer de manière convaincante les douleurs du recourant. Par ailleurs, le Dr B______ s’est également étonné de l’épaississement et de l’évolution atypique du genou du recourant, qu’il attribue à une importante surcharge sportive, pour autant que le traumatisme du 25 septembre 2014 ne soit pas considéré comme la cause à tout le moins partielle de l’épaississement, ce qui est le cas en l’espèce.</w:t>
      </w:r>
    </w:p>
    <w:p>
      <w:r>
        <w:t>A/2748/2015 - 18/19 - d. En ce qui concerne les rapports du Dr C______, ils ne sont pas suffisamment motivés pour se voir reconnaître une valeur probante. En tout état de cause, ils ont été pris en considération par le Dr L______ et n’apportent donc aucun élément objectif qui aurait été ignoré par ce dernier. Quant aux rapports du Dr M______, ils sont également entachés d’un défaut de motivation, dans la mesure où ce médecin retient une incapacité totale de travail et une atteinte à la santé en lien de causalité avec l’accident, sans apporter aucune justification. En tout état de cause, les diagnostics retenus sont les mêmes que ceux posés par les Drs K______ et B______, dont les conclusions ont été largement discutées par le Dr L______. De surcroît et contrairement à ce que laissent entendre le Dr M______ et le recourant, le fait que ce dernier souffre d’une atteinte au genou gauche n’est contesté par aucun médecin, ni par l’intimée. Ce que cette dernière soutient en revanche, s’appuyant sur les conclusions du Dr L______, c’est que le statu quo sine a été atteint le 17 mai 2015 et que cette atteinte n’a donc plus de lien de causalité avec l’événement assuré, l’évolution du cas n’étant pas compatible avec la contusion du genou gauche diagnostiquée par les Drs C______ et E______ suite à l’accident. Si les rapports des Drs K______ et B______ ont apporté des éléments objectifs ignorés par le Dr F______, les appréciations du Dr L______ les ont pris en considération. En outre, si de prime abord, ces médecins semblaient en désaccord, il se trouve qu’à la lecture des courriers des 11 et 26 avril 2016 émis respectivement par les Drs K______ et B______, il apparaît qu’en réalité, leurs conclusions confortent celles du Dr L______. Enfin, s’agissant du Dr F______, ses conclusions, certes brièvement motivées, ont été validées par le Dr L______ dans le cadre de son appréciation du 21 janvier 2016. e. Compte tenu de ce qui précède, l’intimée était fondée à mettre fin aux prestations avec effet au 17 mai 2015, l’assuré ayant retrouvé un statu quo sine à compter de cette date. 13. Au vu de ce qui précède, le recours est rejeté. Pour le surplus, la procédure est gratuite (art. 61 let. a LPGA).</w:t>
      </w:r>
    </w:p>
    <w:p>
      <w:r>
        <w:t>A/2748/2015 - 19/19 -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