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ATAS/94/2012 vom 9. Februar 2012</w:t>
      </w:r>
    </w:p>
    <w:p>
      <w:r>
        <w:t>GE Cour de justice, 2012-02-09, FR</w:t>
      </w:r>
    </w:p>
    <w:p>
      <w:r>
        <w:rPr>
          <w:b/>
        </w:rPr>
        <w:t xml:space="preserve">Quelle: </w:t>
      </w:r>
      <w:r>
        <w:t>https://mcp.opencaselaw.ch/entscheid/ge_gerichte_ATAS_94_2012</w:t>
      </w:r>
    </w:p>
    <w:p>
      <w:r>
        <w:t>FR: GE_GERICHTE ATAS/94/2012 du 9 février 2012</w:t>
      </w:r>
    </w:p>
    <w:p>
      <w:r>
        <w:t>IT: GE_GERICHTE ATAS/94/2012 del 9 febbraio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w:t>
      </w:r>
    </w:p>
    <w:p>
      <w:r>
        <w:t>A/1866/2011 - 5/10 - les contestations prévues à l'art. 43 de la loi cantonale sur les prestations cantonales complémentaires à l'assurance-vieillesse et survivants et à l'assurance-invalidité du 25 octobre 1968 (LPCC; J 7 15). Sa compétence pour juger du cas d’espèce est ainsi établie.</w:t>
      </w:r>
    </w:p>
    <w:p>
      <w:r>
        <w:rPr>
          <w:b/>
        </w:rPr>
        <w:t>E. 2</w:t>
      </w:r>
    </w:p>
    <w:p>
      <w:r>
        <w:t>Interjeté dans les délai et forme légaux, le recours est recevable (art. 56 al. 1 et 61 al. 1 LPGA; art. 43 LPCC).</w:t>
      </w:r>
    </w:p>
    <w:p>
      <w:r>
        <w:rPr>
          <w:b/>
        </w:rPr>
        <w:t>E. 3</w:t>
      </w:r>
    </w:p>
    <w:p>
      <w:r>
        <w:t>Le litige porte sur la restitution de prestations complémentaires versées en trop, à hauteur de 13'083 fr., pour la période du 1er septembre 2007 au 31 octobre 2010. En tant que le SPC a supprimé le droit aux prestations en espèces dues à la recourante à compter du 1er novembre 2010, par décision du 14 octobre 2010, confirmée sur opposition le 9 mai 2011, force est de constater que celle-ci est entrée en force, dès lors qu’aucun recours n’a été interjeté à son encontre.</w:t>
      </w:r>
    </w:p>
    <w:p>
      <w:r>
        <w:rPr>
          <w:b/>
        </w:rPr>
        <w:t>E. 4</w:t>
      </w:r>
    </w:p>
    <w:p>
      <w:r>
        <w:t>a) S'agissant de prestations complémentaires fédérales, selon l'art. 25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Selon l'art. 3 OPGA, l’étendue de l’obligation de restituer est fixée par une décision. L’assureur indique la possibilité d’une remise dans la décision en restitution. Il décide dans sa décision de renoncer à la restitution, lorsqu’il est manifeste que les conditions d’une remise sont réunies. L'art. 4 al. 1 et 2 OPGA prévoit que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b) Au niveau cantonal, l'art. 24 LPCC, prévoit que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14 du règlement d'application de la LPCC du 25 juin 1999 (RPCC ; J 7 15.01) précise que le SPC doit demander la restitution des prestations indûment touchées au bénéficiaire, à ses héritiers ou aux autres personnes mentionnées à l'art. 2 OPGA appliqué par analogie (al. 1). Il fixe l'étendue de l'obligation de restituer par décision (al. 2). Dans sa décision en restitution, il indique la possibilité d'une demande de remise (al. 3). Lorsqu'il est manifeste que les conditions d'une remise sont réunies, le SPC décide, dans sa décision, de renoncer à la restitution (al. 4).</w:t>
      </w:r>
    </w:p>
    <w:p>
      <w:r>
        <w:t>A/1866/2011 - 6/10 - c) Aux termes de l’art. 25 al. 2 1ère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w:t>
      </w:r>
    </w:p>
    <w:p>
      <w:r>
        <w:rPr>
          <w:b/>
        </w:rPr>
        <w:t>E. 5</w:t>
      </w:r>
    </w:p>
    <w:p>
      <w:r>
        <w:t>En l’occurrence, la recourante a transmis pour la première fois à l’intimé, entre juillet et décembre 2010, un certain nombre de renseignements financiers sur la situation du couple, notamment les états des avoirs déposés sur les comptes postaux depuis le 31 décembre 2005. Elle a également produit des documents attestant de l’acquisition par elle et par son mari d’un appartement en Valais en septembre 2007. En sollicitant, par décision du 16 mars 2011, la restitution des prestations indûment versées depuis le 1er septembre 2007, compte tenu de l’état de la fortune du couple, l’intimé a agi en temps utile, soit dans les délais d’un an dès la connaissance du fait et de cinq ans dès le versement de la prestation. Force est par ailleurs de constater que l’intimé a renoncé à tenir compte, au titre des revenus, des jetons de présence perçus par le mari de la recourante entre le 1er septembre 2007 et le 31 octobre 2010, au motif que le SPC admettait avoir eu connaissance de cet élément depuis plus d’un an, au jour du prononcé de la décision.</w:t>
      </w:r>
    </w:p>
    <w:p>
      <w:r>
        <w:rPr>
          <w:b/>
        </w:rPr>
        <w:t>E. 6</w:t>
      </w:r>
    </w:p>
    <w:p>
      <w:r>
        <w:t>a) Au niveau fédéral, la LPC, entrée en vigueur le 1er janvier 2008 abroge et remplace la LPC du 19 mars 1965 (aLPC). L'ancienne loi est toutefois applicable en l'espèce pour les prestations jusqu'au 31 décembre 2007.</w:t>
      </w:r>
    </w:p>
    <w:p>
      <w:r>
        <w:t>A/1866/2011 - 7/10 - L’art. 9 al. 1er LPC, en vigueur depuis le 1er janvier 2008, dispose que le montant de la prestation complémentaire annuelle correspond à la part des dépenses reconnues qui excède les revenus déterminants. L'ancienne LPC prévoyait le même principe. b) Aux termes de l’art. 11 al. 1er LPC dans sa teneur en vigueur jusqu'au 31 décembre 2010, les revenus déterminants comprennent deux tiers des ressources en espèces ou en nature provenant de l’exercice d’une activité lucrative, pour autant qu’elles excèdent annuellement 1'500 fr. pour les couples et les personnes qui ont des enfants ayant droit à une rente d’orphelin ou donnant droit à une rente pour enfant de l’AVS ou de l’AI (let. a), le produit de la fortune mobilière et immobilière (let. b), un quinzième de la fortune nette, dans la mesure où elle dépasse 40'000 fr. pour les couples et 15 000 francs pour les enfants donnant droit à des rentes pour enfants de l’AVS ou de l’AI;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 et les rentes, pensions et autres prestations périodiques, y compris les rentes de l’AVS et de l’AI (let. d). Les revenus déterminants à prendre en compte selon les dispositions légales en vigueur jusqu'au 31 décembre 2007 comprenaient les mêmes ressources, la valeur de l'immeuble servant d'habitation au bénéficiaire de prestations complémentaires ou une autre personne comprise dans leur calcul étant toutefois prise en compte dans la mesure où elle dépassait 75'000 fr. (art. 3c al. 1 let. c aLPC). S'agissant du revenu déterminant pour les prestations complémentaires cantonales, il y a lieu de préciser qu'il est calculé conformément aux règles fixées dans la loi fédérale, moyennant certaines adaptations dont la suivante est pertinente en l'espèce: la part de la fortune nette prise en compte dans le calcul du revenu déterminant est d'un huitième, après déduction des franchises prévues par l'art. 11 al. 1 LPC (art. 5 LPCC let. c). c) Aux termes de l'art. 17 de l’ordonnance sur les prestations complémentaires à l’assurance-vieillesse, survivants et invalidité du 15 janvier 1971 (OPC-AVS/AI ; RS 831.301),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Dans ses commentaires concernant la modification de l'OPC-AVS/AI entrée en vigueur le 1er janvier 1992, l'Office fédéral des assurances sociales a relevé à propos de l'art. 17 al. 4 de l’ordonnance que la valeur vénale, soit la valeur qu'atteindrait un immeuble au cours de transactions normales, est en règle générale nettement plus élevée que la valeur fiscale; il ne se justifie pas d'effectuer une</w:t>
      </w:r>
    </w:p>
    <w:p>
      <w:r>
        <w:t>A/1866/2011 - 8/10 -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(ATFA non publié du 25 février 2002, P 13/01, consid 5c/aa; RCC 1991 p. 424). Au niveau cantonal, conformément à l'art. 7 LPCC, la fortune comprend la fortune mobilière et immobilière définie par la loi fédérale et ses dispositions d'exécution (al. 1). La fortune est évaluée selon les règles applicables en matière fiscale (imposition des personnes physiques), les règles d'évaluation prévues par la loi fédérale et ses dispositions d'exécution étant réservées (al. 2). d) Pour le calcul de la prestation complémentaire annuelle, sont pris en compte en règle générale les revenus déterminants obtenus au cours de l’année civile précédente et l’état de la fortune le 1er janvier de l’année pour laquelle la prestation est servie (art. 23 al. 1 OPC-AVS/AI).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(art. 23 al. 4 OPC-AVS/AI). Pour la fixation de la prestation cantonale est aussi déterminante la fortune au 1er janvier de l’année pour laquelle la prestation est demandée (art. 9 al. 1 let. b LPCC). En cas de modification importante des ressources ou de la fortune du bénéficiaire, la prestation est fixée conformément à la situation nouvelle (art. 9 al. 3 LPCC).</w:t>
      </w:r>
    </w:p>
    <w:p>
      <w:r>
        <w:rPr>
          <w:b/>
        </w:rPr>
        <w:t>E. 7</w:t>
      </w:r>
    </w:p>
    <w:p>
      <w:r>
        <w:t>a) Dans la décision entreprise, l’intimé a pris en considération, s’agissant de la fortune, de la valeur vénale du studio en Valais, soit le prix d’achat (104'000 fr.) sous déduction de l’hypothèque (54'000 fr.), ainsi que de l’état des comptes de la famille au 1er janvier de l’année en cours (sur la base des soldes au 31 décembre de l’année précédente) sous déduction des deniers de nécessité (soit 70'000 fr. avec les deux enfants à charge, 55'000 fr. avec un seul enfant à charge et 40'000 fr. sans enfant). Seul 1/15 de la fortune nette a été retenu pour les prestations fédérales et 1/8 pour les prestations cantonales.</w:t>
      </w:r>
    </w:p>
    <w:p>
      <w:r>
        <w:t>A/1866/2011 - 9/10 - Les calculs du SPC sont corrects et ne prêtent pas le flanc à la critique. C’est ainsi à juste titre que la résidence secondaire de la recourante et de son époux a été prise en compte à la valeur vénale, soit la valeur du marché correspondant au prix d’achat de l’appartement, et ce sous déduction de la dette hypothécaire. Ce procédé est correct et n’est d’ailleurs pas contesté. En ce qui concerne la fortune mobilière, la recourante reproche à tort au SPC d’avoir pris en considération deux fois les jetons de présence perçus par son mari en fin d’année et déposés sur le compte-joint du couple, soit une fois au titre de revenu et une fois au titre de fortune. En effet, il ressort de la décision dont est recours que l’intimé n’a pas pris en considération rétroactivement, en tant que revenus de l’activité lucrative, les jetons de présence perçus par l’époux de la recourante. C’est d’ailleurs la raison pour laquelle le montant des prestations versées en trop dont la restitution est réclamée a été réduit à 13'083 fr.</w:t>
      </w:r>
    </w:p>
    <w:p>
      <w:r>
        <w:rPr>
          <w:b/>
        </w:rPr>
        <w:t>E. 8</w:t>
      </w:r>
    </w:p>
    <w:p>
      <w:r>
        <w:t>Quant au fait d’avoir tenu compte, s’agissant de la fortune mobilière, de l’état des avoirs déposés sur les comptes postaux des époux G___________ en début d’année, force est de constater qu’il s’agit de la solution expressément prévue par la législation fédérale et cantonale, laquelle n’est pas non plus critiquable, ce d’autant moins que le bénéficiaire des prestations complémentaires peut toujours demander, en cas de modification importante de sa fortune en cours d’année, un nouveau calcul de ses prestations. Or, la recourante ne fait pas valoir que durant la période litigieuse, soit de septembre 2007 à octobre 2010, l’état de la fortune en cours d’année aurait sensiblement diminué. Cela ne ressort pas non plus des relevés de compte produits.</w:t>
      </w:r>
    </w:p>
    <w:p>
      <w:r>
        <w:rPr>
          <w:b/>
        </w:rPr>
        <w:t>E. 9</w:t>
      </w:r>
    </w:p>
    <w:p>
      <w:r>
        <w:t>Pour ces motifs, le calcul du SPC n’est pas critiquable et la décision querellée sera par conséquent confirmée.</w:t>
      </w:r>
    </w:p>
    <w:p>
      <w:r>
        <w:rPr>
          <w:b/>
        </w:rPr>
        <w:t>E. 10</w:t>
      </w:r>
    </w:p>
    <w:p>
      <w:r>
        <w:t>Au vu de ce qui précède, le recours est rejeté.</w:t>
      </w:r>
    </w:p>
    <w:p>
      <w:r>
        <w:t>A/1866/2011 - 10/10 -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