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ATAS/94/2011 vom 1. Februar 2011</w:t>
      </w:r>
    </w:p>
    <w:p>
      <w:r>
        <w:t>GE Cour de justice, 2011-02-01, FR</w:t>
      </w:r>
    </w:p>
    <w:p>
      <w:r>
        <w:rPr>
          <w:b/>
        </w:rPr>
        <w:t xml:space="preserve">Quelle: </w:t>
      </w:r>
      <w:r>
        <w:t>https://mcp.opencaselaw.ch/entscheid/ge_gerichte_ATAS_94_2011</w:t>
      </w:r>
    </w:p>
    <w:p>
      <w:r>
        <w:t>FR: GE_GERICHTE ATAS/94/2011 du 1 février 2011</w:t>
      </w:r>
    </w:p>
    <w:p>
      <w:r>
        <w:t>IT: GE_GERICHTE ATAS/94/2011 del 1 febbraio 2011</w:t>
      </w:r>
    </w:p>
    <w:p>
      <w:pPr>
        <w:pStyle w:val="Heading2"/>
      </w:pPr>
      <w:r>
        <w:t>Erwägungen</w:t>
      </w:r>
    </w:p>
    <w:p>
      <w:r>
        <w:rPr>
          <w:b/>
        </w:rPr>
        <w:t>E. 10</w:t>
      </w:r>
    </w:p>
    <w:p>
      <w:r>
        <w:t>Si l'expert s'écarte des conclusions des Drs E_________ ou D_________, d'une part et du Dr C_________, d'autre part, sur la</w:t>
      </w:r>
    </w:p>
    <w:p>
      <w:r>
        <w:t>- 22/22-</w:t>
      </w:r>
    </w:p>
    <w:p>
      <w:r>
        <w:t>A/1418/2010 question des diagnostics, du lien de causalité avec l'activité professionnelle, en particulier du lien avec le nombre d'années d'activité, dire pourquoi.</w:t>
      </w:r>
    </w:p>
    <w:p>
      <w:r>
        <w:rPr>
          <w:b/>
        </w:rPr>
        <w:t>E. 11</w:t>
      </w:r>
    </w:p>
    <w:p>
      <w:r>
        <w:t>Si l'expert s'écarte du rapport d'Ergorama SA, expliquer pourquoi.</w:t>
      </w:r>
    </w:p>
    <w:p>
      <w:r>
        <w:rPr>
          <w:b/>
        </w:rPr>
        <w:t>E. 12</w:t>
      </w:r>
    </w:p>
    <w:p>
      <w:r>
        <w:t>Toute remarque utile et proposition de l'expert. 3. Charge l'expert de répondre aux questions suivantes, pour l'ensemble des assurées: 1. La prévalence des diagnostics posés est-elle 4 fois plus importante (2 fois plus importante s'agissant du tunnel carpien) dans le groupe des ouvrières chargées des activités effectivement exercées que dans la population en général? Préciser les fondements de l'avis. 2. Y a-t-il eu une évolution du nombre de cas présentant les affections diagnostiquées ou d'autres affections comparables dans l'entreprise depuis 2002? Si oui, pourquoi? Des mesures ont-elles été prises? Si oui, lesquelles? 3. Comment expliquer l'hétérogénéité des diagnostics posés chez l'ensemble des assurées concernées, compte tenu du fait qu'elles travaillent dans la même entreprise? 4. Toute remarque utile et proposition de l'expert. 4. Commet à ces fins la Dresse AA_________, spécialiste en médecine du travail auprès de l'Institut universitaire romand de santé au travail. 5. Invite l'expert à déposer à sa meilleure convenance un rapport en 8 exemplaires à la Chambre des assurances sociales de la Cour de justice; 6. Réserve le fond ;</w:t>
      </w:r>
    </w:p>
    <w:p>
      <w:r>
        <w:t>La greffière</w:t>
      </w:r>
    </w:p>
    <w:p>
      <w:r>
        <w:t>Florence SCHMUTZ</w:t>
      </w:r>
    </w:p>
    <w:p>
      <w:r>
        <w:t>La présidente</w:t>
      </w:r>
    </w:p>
    <w:p>
      <w:r>
        <w:t>Sabina MASCOTTO</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