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ATAS/949/2018 vom 22. Oktober 2018</w:t>
      </w:r>
    </w:p>
    <w:p>
      <w:r>
        <w:t>GE Cour de justice, 2018-10-22, FR</w:t>
      </w:r>
    </w:p>
    <w:p>
      <w:r>
        <w:rPr>
          <w:b/>
        </w:rPr>
        <w:t xml:space="preserve">Quelle: </w:t>
      </w:r>
      <w:r>
        <w:t>https://mcp.opencaselaw.ch/entscheid/ge_gerichte_ATAS_949_2018</w:t>
      </w:r>
    </w:p>
    <w:p>
      <w:r>
        <w:t>FR: GE_GERICHTE ATAS/949/2018 du 22 octobre 2018</w:t>
      </w:r>
    </w:p>
    <w:p>
      <w:r>
        <w:t>IT: GE_GERICHTE ATAS/949/2018 del 22 ottobre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w:t>
      </w:r>
    </w:p>
    <w:p>
      <w:r>
        <w:t>A/4201/2017 - 12/23 - forme et le délai prévus par la loi, le recours est recevable (art. 56 ss LPGA et 62 ss LPA).</w:t>
      </w:r>
    </w:p>
    <w:p>
      <w:r>
        <w:rPr>
          <w:b/>
        </w:rPr>
        <w:t>E. 4</w:t>
      </w:r>
    </w:p>
    <w:p>
      <w:r>
        <w:t>Le litige porte sur le droit du recourant à des prestations d’invalidité, en particulier une rente, selon les conclusions du recourant.</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w:t>
      </w:r>
    </w:p>
    <w:p>
      <w:r>
        <w:t>A/4201/2017 - 13/23 -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A/4201/2017 - 14/23 -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w:t>
      </w:r>
    </w:p>
    <w:p>
      <w:r>
        <w:t>A/4201/2017 - 15/23 -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w:t>
      </w:r>
    </w:p>
    <w:p>
      <w:r>
        <w:t>A/4201/2017 - 16/23 -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13</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w:t>
      </w:r>
    </w:p>
    <w:p>
      <w:r>
        <w:t>A/4201/2017 - 17/23 -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w:t>
      </w:r>
    </w:p>
    <w:p>
      <w:r>
        <w:t>A/4201/2017 - 18/23 - précisément le revenu d'invalide et que le secteur en question est adapté et exigible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w:t>
      </w:r>
    </w:p>
    <w:p>
      <w:r>
        <w:t>A/4201/2017 - 19/23 -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Cependant, là encore, le caractère irréaliste des possibilités de travail doit découler de l'atteinte à la santé - puisqu'une telle atteinte est indispensable à la reconnaissance d'une invalidité (cf. art. 7 et 8 LPGA) - et non de facteurs psychosociaux ou socioculturels totalement étrangers à l'invalidité (cf. arrêts du Tribunal fédéral 9C_286/2015, op. cit, consid. 4.2 et 9C_602/2015, op. cit., consid. 6.1).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arrêt du Tribunal fédéral 8C_312/2016 du 13 mars 2017 consid. 5.4; arrêts du Tribunal fédéral des assurances I 43/05 du 30 juin 2006 consid. 5.2).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(cf. ATF 126 V 75 consid. 7b). En cas de baisse de rendement, l'abattement doit être appliqué à la part du salaire statistique que l’assuré est toujours susceptible de réaliser malgré sa baisse de rendement et ne saurait en aucun cas être additionné au taux de la diminution de rendement, puis il convient de déduire le résultat obtenu de ladite part salariale. La différence obtenue correspond à la perte de gain effective et donne le taux d'invalidité (arrêt du Tribunal fédéral 9C_692/2017 du 12 mars 2018 consid. 5).</w:t>
      </w:r>
    </w:p>
    <w:p>
      <w:r>
        <w:rPr>
          <w:b/>
        </w:rPr>
        <w:t>E. 14</w:t>
      </w:r>
    </w:p>
    <w:p>
      <w:r>
        <w:t>Ni le déconditionnement issu d'un mode de vie sédentaire et inactif, ni celui lié à une longue interruption de l'activité professionnelle ne suffisent en tant que tels pour admettre une diminution durable de la capacité de travail dans toute activité</w:t>
      </w:r>
    </w:p>
    <w:p>
      <w:r>
        <w:t>A/4201/2017 - 20/23 - (cf. arrêts du Tribunal fédéral des assurances I 524/04 du 28 juin 2005 consid. 5 et I 597/03 du 22 mars 2004 consid. 4.1). En revanche, lorsque le déconditionnement se révèle être la conséquence directe et inévitable d'une atteinte à la santé, son incidence sur la capacité de travail ne saurait d'emblée être niée. A cet égard, les éléments empêchant la réadaptation et la réintégration professionnelles qui ne sont pas dus à l'atteinte à la santé n'ont pas à être pris en considération. Si la mise en valeur de la capacité résiduelle de travail dépend cependant d'une mesure préalable liée à l'état de santé, et réservée du point de vue médical, il y a lieu d'en tenir compte pour évaluer ladite capacité de travail. Ainsi,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lesdites mesures n'aient été exécutées (arrêts du Tribunal fédéral 9C_141/2009 du 5 octobre 2009 consid. 2.3.1, SVR 2010 IV n° 9 p. 27 et 9C_163/2009 du 10 septembre 2010 consid. 4.1, SVR 2011 IV n° 30 p. 86; arrêt du Tribunal fédéral 9C_809/2017 du 27 mars 2018 consid. 5.2).</w:t>
      </w:r>
    </w:p>
    <w:p>
      <w:r>
        <w:rPr>
          <w:b/>
        </w:rPr>
        <w:t>E. 15</w:t>
      </w:r>
    </w:p>
    <w:p>
      <w:r>
        <w:t>En l'espèce, la décision de l'OAI, du 18 septembre 2017, nie le droit du recourant à pouvoir prétendre à une rente d'invalidité. Elle se fonde sur les conclusions du SMR qui reprend à son compte celles de l'expertise multidisciplinaire de la policlinique médicale universitaire de Lausanne (PMU). Cette dernière a conclu dans son rapport du 2 mai 2017 que si la CT de l'assuré dans les dernières activités professionnelles exercées était nulle (0 %), et ceci à titre définitif dès le 1er janvier 2010, il n'en allait pas de même de sa CT résiduelle dans une activité adaptée aux limitations fonctionnelles imposées par les nombreuses atteintes à la santé. Ces atteintes sont unanimement reconnues par les experts aussi bien que par le SMR et les médecins traitants. Les experts de la PMU arrivent toutefois à la conclusion que depuis toujours le recourant dispose d'une pleine CT (100 %) dans une activité adaptée, sédentaire, de préférence exercée à l'intérieur d'un bâtiment. Le recourant ne critique pas en tant que telle l'expertise fondant la décision dont il demande l'annulation, mais il en reste au seul argument qu'il rencontre des problèmes de santé importants depuis de nombreuses années, et que ceux-ci n'ont pas été en s'atténuant depuis le dépôt de sa demande de prestations de l'assurance-invalidité. Il en veut pour preuve les documents médicaux qu'il produit, et qui attestent selon lui de son incapacité de travail, et qui, selon ses termes, démontrent qu'il n'est pas apte à exercer une activité lucrative à 100 %. Il convient dès lors de déterminer si l'on peut reconnaître à l'expertise de la PMU du 2 mai 2017 une pleine valeur probante, ou si, au contraire, les avis médicaux des médecins traitants contiennent des éléments objectivement démontrables et démontrés, laissant subsister un doute susceptible de remettre en cause la fiabilité des conclusions des experts indépendants qui se sont prononcés sur ce cas.</w:t>
      </w:r>
    </w:p>
    <w:p>
      <w:r>
        <w:t>A/4201/2017 - 21/23 - Il convient tout d'abord d'observer que l'instruction de ce dossier, dans sa phase administrative, a été menée avec une attention diligente par l'intimé, et par son service médical qui a rapidement identifié la nécessité de faire procéder à une expertise pluridisciplinaire, en conformité avec l'art. 72bis RAI. Cette disposition prescrit que depuis le 1er mars 2012, seuls les centres d’expertises médicales, remplissant les conditions de qualité définies dans une convention conclue avec l’OFAS, sont habilités à établir des expertises pluridisciplinaires pour l’AI, l’attribution des mandats d’expertise pluridisciplinaire devant se faire de manière aléatoire. Dans un premier temps, le processus aléatoire a désigné la clinique Corela, celle-là même qui à l'époque était encore au bénéfice d'une convention avec l'OFAS, avant que les organes de l’assurance-invalidité renoncent à lui confier des mandats d’expertise depuis 2015; avant qu'elle ne se voie retirer l'autorisation d'exploiter notamment son centre d'expertises, par les autorités genevoises, ceci en raison des très importants manquements qui ont été constatés dans la gestion de l’institution de santé et en particulier des graves violations des devoirs professionnels incombant à une personne responsable d’un tel établissement. Cette mesure a été confirmée par le Tribunal fédéral, qui, dans un arrêt très récent, a confirmé, dans un cas où l'expertise en cause avait été rendue le 21 mars 2014, au sein de cette clinique, soit à une époque où le responsable médical du "département expertise" modifiait illicitement le contenu de rapports, que cette expertise ne pouvait pas servir de fondement pour statuer sur le droit de la requérante aux prestations de l'assurance-invalidité (voir notamment arrêts du TF 2C_32/2017 du 22 décembre 2017; 8C_657/2017 du 14 mai 2018 consid. 5.2.2 ; 9F_5/2018 du</w:t>
      </w:r>
    </w:p>
    <w:p>
      <w:r>
        <w:rPr>
          <w:b/>
        </w:rPr>
        <w:t>E. 16</w:t>
      </w:r>
    </w:p>
    <w:p>
      <w:r>
        <w:t>Ceci dit, et quand bien même le recourant ne remet pas formellement en cause les autres aspects ayant conduit l'intimé à retenir un taux d'invalidité de 10 %, notamment sur la base de la comparaison des revenus avec et sans invalidité, la chambre de céans constate que l'OAI a procédé de manière conforme aux principes jurisprudentiels rappelés ci-dessus, de sorte que la chambre de céans ne voit aucun motif de remettre en cause la décision entreprise.</w:t>
      </w:r>
    </w:p>
    <w:p>
      <w:r>
        <w:rPr>
          <w:b/>
        </w:rPr>
        <w:t>E. 17</w:t>
      </w:r>
    </w:p>
    <w:p>
      <w:r>
        <w:t>Au vu de ce qui précède, le recours sera rejeté.</w:t>
      </w:r>
    </w:p>
    <w:p>
      <w:r>
        <w:rPr>
          <w:b/>
        </w:rPr>
        <w:t>E. 18</w:t>
      </w:r>
    </w:p>
    <w:p>
      <w:r>
        <w:t>Etant donné que depuis le 1er juillet 2006, la procédure n'est plus gratuite (art. 69 al. 1bis LAI), il y a lieu de condamner le recourant au paiement d'un émolument de CHF 200.-</w:t>
      </w:r>
    </w:p>
    <w:p>
      <w:r>
        <w:t>A/4201/2017 - 23/23 -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