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ATAS/949/2016 vom 24. November 2016</w:t>
      </w:r>
    </w:p>
    <w:p>
      <w:r>
        <w:t>GE Cour de justice, 2016-11-24, FR</w:t>
      </w:r>
    </w:p>
    <w:p>
      <w:r>
        <w:rPr>
          <w:b/>
        </w:rPr>
        <w:t xml:space="preserve">Quelle: </w:t>
      </w:r>
      <w:r>
        <w:t>https://mcp.opencaselaw.ch/entscheid/ge_gerichte_ATAS_949_2016</w:t>
      </w:r>
    </w:p>
    <w:p>
      <w:r>
        <w:t>FR: GE_GERICHTE ATAS/949/2016 du 24 novembre 2016</w:t>
      </w:r>
    </w:p>
    <w:p>
      <w:r>
        <w:t>IT: GE_GERICHTE ATAS/949/2016 del 24 novembre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30 jours (art. 56 LPGA; art. 62 al. 1 de la de loi sur la procédure administrative du 12 septembre 1985 [LPA - E 5 10]). Interjeté dans la forme et le délai prévus par la loi, le recours est recevable (art. 56 ss LPGA et 62 ss LPA).</w:t>
      </w:r>
    </w:p>
    <w:p>
      <w:r>
        <w:rPr>
          <w:b/>
        </w:rPr>
        <w:t>E. 5</w:t>
      </w:r>
    </w:p>
    <w:p>
      <w:r>
        <w:t>Le litige porte sur le droit de l'assurée à des mesures pour une réadaptation professionnelle, et subsidiairement à une rente d'invalidité.</w:t>
      </w:r>
    </w:p>
    <w:p>
      <w:r>
        <w:rPr>
          <w:b/>
        </w:rPr>
        <w:t>E. 6</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w:t>
      </w:r>
    </w:p>
    <w:p>
      <w:r>
        <w:t>A/4393/2015 - 20/34 -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w:t>
      </w:r>
    </w:p>
    <w:p>
      <w:r>
        <w:t>A/4393/2015 - 21/34 -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arrêt du Tribunal fédéral 8C_10/2015 du 5 septembre 2015 destiné à la publication consid. 5.2). En revanche, ils ne sont pas applicables par analogie à la fatigue liée au cancer (cancer-related Fatigue) (ATF 139 V 346 consid. 3; arrêt du Tribunal fédéral 9C_73/2013 du 2 septembre 2013 consid. 5).</w:t>
      </w:r>
    </w:p>
    <w:p>
      <w:r>
        <w:rPr>
          <w:b/>
        </w:rPr>
        <w:t>E. 9</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w:t>
      </w:r>
    </w:p>
    <w:p>
      <w:r>
        <w:t>A/4393/2015 - 22/34 -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10</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w:t>
      </w:r>
    </w:p>
    <w:p>
      <w:r>
        <w:t>A/4393/2015 - 23/34 -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w:t>
      </w:r>
    </w:p>
    <w:p>
      <w:r>
        <w:t>A/4393/2015 - 24/34 -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w:t>
      </w:r>
    </w:p>
    <w:p>
      <w:r>
        <w:t>A/4393/2015 - 25/34 -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11</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A/4393/2015 - 26/34 -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I.648/03 du 18 septembre 2004 consid. 5.1.3 et 5.1.4).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w:t>
      </w:r>
    </w:p>
    <w:p>
      <w:r>
        <w:t>A/4393/2015 - 27/34 -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w:t>
      </w:r>
    </w:p>
    <w:p>
      <w:r>
        <w:t>A/4393/2015 - 28/34 -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w:t>
      </w:r>
    </w:p>
    <w:p>
      <w:r>
        <w:rPr>
          <w:b/>
        </w:rPr>
        <w:t>E. 13</w:t>
      </w:r>
    </w:p>
    <w:p>
      <w:r>
        <w:t>En l'espèce, il convient d'examiner, en premier lieu, la valeur probante de l'expertise du 12 juin 2015. a. Les experts ont retenu dans leurs conclusions - qui sont motivées contrairement à ce que soutient la recourante, (p. 19 de l'expertise), que, sur le plan psychiatrique, l'expertisée avait une capacité de travail complète dans toute activité, depuis février 2010 (p. 22 de l'expertise), sans diminution de rendement, relevant que la symptomatologie dépressive était présente depuis 2010, sans phase de rémission. Ils ont toutefois précisé qu'il n’était pas exclu que cette symptomatologie dépressive redevienne sévère et incapacitante à l’avenir et qu'il serait judicieux d’optimiser le traitement antidépresseur pour prévenir une telle rechute. Ces conclusions apparaissent contradictoires, car si la capacité de travail de l'assurée n'a pas été réduite depuis février 2010 et que la symptomatologie dépressive est présente depuis 2010, on peut en conclure que, selon les experts, l'assurée n'a jamais été dans un état dépressif sévère et incapacitant. Or, le fait d'évoquer un retour possible à un tel état, implique, au contraire, que l'assurée a déjà été dans un état dépressif sévère et incapacitant. Cette contradiction est de nature à faire douter des conclusions de l'expertise, étant relevé que le SMR s'en est lui-même écarté, en retenant, le 29 juillet 2015, une incapacité de travail à 100% de l'assurée de février 2011 à février 2012, en raison d'un état dépressif sévère, conformément au rapport établi le 11 août 2011 par la Dresse B______ et celui établi le 13 février 2012 par la Dresse C______. b. La recourante a allégué plusieurs griefs en lien avec les faits retenus s'agissant des médicaments. Elle reproche à l'expert psychiatre d'avoir pris en compte un</w:t>
      </w:r>
    </w:p>
    <w:p>
      <w:r>
        <w:t>A/4393/2015 - 29/34 - dosage erroné du Cipralex. Elle était sûre de lui avoir dit en prendre 20 mg par jour, et pas deux fois par jour. Au vu des déclarations de l'assurée et du fait que la dose de 20 mg par jour correspond à celle prescrite à l'assurée à teneur du rapport de la Dresse C______, psychiatre-psychothérapeute FMH, du 17 février 2011, il apparaît possible que l'expert psychiatre ait retenu un dosage erroné du Cipralex. La recourante a également relevé que le dosage du Tramadol dans le sang avait été analysé, alors qu'elle n'en prenait pas, ce qui apparaît exact à teneur de la liste des médicaments énumérés en page 10 du rapport d'expertise sous « Données subjectives ». La recourante reproche enfin aux experts d'avoir conclu à sa non compliance médicamenteuse sur la foi d'un examen sanguin et d'un monitoring médicamenteux, sans tenir compte du fait qu'elle avait informé la réception, lors de son premier rendez-vous pour l'expertise, ne pas avoir pris ses médicaments depuis deux jours, en raison de fortes migraines dont elle souffrait. Il apparaît ainsi que les experts ont pu fonder leurs conclusions quant à la compliance de l'assurée sur la base de données erronées ou incomplètes.</w:t>
      </w:r>
    </w:p>
    <w:p>
      <w:r>
        <w:rPr>
          <w:b/>
        </w:rPr>
        <w:t>E. 14</w:t>
      </w:r>
    </w:p>
    <w:p>
      <w:r>
        <w:t>Mentionner, pour chaque diagnostic posé, les limitations fonctionnelles qu’il entraîne, a) dans l’activité habituelle b) dans une activité adaptée.</w:t>
      </w:r>
    </w:p>
    <w:p>
      <w:r>
        <w:rPr>
          <w:b/>
        </w:rPr>
        <w:t>E. 15</w:t>
      </w:r>
    </w:p>
    <w:p>
      <w:r>
        <w:t>Mentionner globalement les conséquences des divers diagnostics retenus sur la capacité de travail de l’assuré-e, en pourcent, a) dans l’activité habituelle b) dans une activité adaptée.</w:t>
      </w:r>
    </w:p>
    <w:p>
      <w:r>
        <w:rPr>
          <w:b/>
        </w:rPr>
        <w:t>E. 16</w:t>
      </w:r>
    </w:p>
    <w:p>
      <w:r>
        <w:t>Dater la survenance de l’incapacité de travail durable, le cas échéant, indiquer l'évolution de son taux et décrire son évolution.</w:t>
      </w:r>
    </w:p>
    <w:p>
      <w:r>
        <w:rPr>
          <w:b/>
        </w:rPr>
        <w:t>E. 17</w:t>
      </w:r>
    </w:p>
    <w:p>
      <w:r>
        <w:t>Évaluer l'exigibilité, en pourcent, d'une activité lucrative adaptée, indiquer depuis quand une telle activité est exigible et quel est le domaine d'activité adapté.</w:t>
      </w:r>
    </w:p>
    <w:p>
      <w:r>
        <w:rPr>
          <w:b/>
        </w:rPr>
        <w:t>E. 18</w:t>
      </w:r>
    </w:p>
    <w:p>
      <w:r>
        <w:t>Dire s'il y a une diminution de rendement et la chiffrer.</w:t>
      </w:r>
    </w:p>
    <w:p>
      <w:r>
        <w:rPr>
          <w:b/>
        </w:rPr>
        <w:t>E. 19</w:t>
      </w:r>
    </w:p>
    <w:p>
      <w:r>
        <w:t>Évaluer la possibilité d'améliorer la capacité de travail par des mesures médicales. Indiquer quelles seraient les propositions thérapeutiques et leur influence sur la capacité de travail.</w:t>
      </w:r>
    </w:p>
    <w:p>
      <w:r>
        <w:rPr>
          <w:b/>
        </w:rPr>
        <w:t>E. 20</w:t>
      </w:r>
    </w:p>
    <w:p>
      <w:r>
        <w:t>Commenter et discuter les avis médicaux du SMR, des experts s’étant déjà prononcés et des médecins traitants et indiquer - cas échéant - pour quelles raisons ces avis sont confirmés ou écartés.</w:t>
      </w:r>
    </w:p>
    <w:p>
      <w:r>
        <w:rPr>
          <w:b/>
        </w:rPr>
        <w:t>E. 21</w:t>
      </w:r>
    </w:p>
    <w:p>
      <w:r>
        <w:t>Formuler un pronostic global.</w:t>
      </w:r>
    </w:p>
    <w:p>
      <w:r>
        <w:rPr>
          <w:b/>
        </w:rPr>
        <w:t>E. 22</w:t>
      </w:r>
    </w:p>
    <w:p>
      <w:r>
        <w:t>Toute remarque utile et proposition des experts. 3. Invite l'expert à faire avec le Dr L_____ une appréciation consensuelle du cas s’agissant de toutes les problématiques ayant des interférences entre-elles, notamment l’appréciation de la capacité de travail résiduelle. 4. Invite l'expert à déposer, d'ici au 31 mars 2017 un rapport en trois exemplaires à la chambre de céans. 5. Réserve le fond. La greffière</w:t>
      </w:r>
    </w:p>
    <w:p>
      <w:r>
        <w:t>Irene PONCET</w:t>
      </w:r>
    </w:p>
    <w:p>
      <w:r>
        <w:t>La présidente</w:t>
      </w:r>
    </w:p>
    <w:p>
      <w:r>
        <w:t>Catherine TAPPONNIER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